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C611CEB">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highlight w:val="none"/>
          <w:lang w:val="en-US" w:eastAsia="zh-CN"/>
        </w:rPr>
      </w:pPr>
      <w:bookmarkStart w:id="0" w:name="_Toc22953395"/>
      <w:bookmarkEnd w:id="0"/>
      <w:bookmarkStart w:id="1" w:name="_Toc22804073"/>
      <w:bookmarkEnd w:id="1"/>
    </w:p>
    <w:p w14:paraId="0C735D19">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4"/>
          <w:szCs w:val="44"/>
          <w:highlight w:val="none"/>
          <w:lang w:val="en-US" w:eastAsia="zh-CN"/>
        </w:rPr>
      </w:pPr>
      <w:r>
        <w:rPr>
          <w:rFonts w:hint="eastAsia" w:cs="宋体"/>
          <w:b/>
          <w:bCs/>
          <w:color w:val="auto"/>
          <w:sz w:val="44"/>
          <w:szCs w:val="44"/>
          <w:highlight w:val="none"/>
          <w:lang w:val="en-US" w:eastAsia="zh-CN"/>
        </w:rPr>
        <w:t>驻马店市中心医院3号楼应急照明系统电池、应急照明灯具采购安装项目</w:t>
      </w:r>
    </w:p>
    <w:p w14:paraId="0610F71D">
      <w:pPr>
        <w:pStyle w:val="18"/>
        <w:keepNext w:val="0"/>
        <w:pageBreakBefore w:val="0"/>
        <w:widowControl w:val="0"/>
        <w:overflowPunct/>
        <w:topLinePunct w:val="0"/>
        <w:bidi w:val="0"/>
        <w:jc w:val="center"/>
        <w:rPr>
          <w:rStyle w:val="43"/>
          <w:rFonts w:hint="eastAsia" w:ascii="宋体" w:hAnsi="宋体" w:eastAsia="宋体" w:cs="宋体"/>
          <w:b/>
          <w:bCs/>
          <w:color w:val="auto"/>
          <w:sz w:val="48"/>
          <w:szCs w:val="48"/>
          <w:highlight w:val="none"/>
        </w:rPr>
      </w:pPr>
    </w:p>
    <w:p w14:paraId="158E927F">
      <w:pPr>
        <w:pStyle w:val="18"/>
        <w:keepNext w:val="0"/>
        <w:pageBreakBefore w:val="0"/>
        <w:widowControl w:val="0"/>
        <w:overflowPunct/>
        <w:topLinePunct w:val="0"/>
        <w:bidi w:val="0"/>
        <w:jc w:val="center"/>
        <w:rPr>
          <w:rStyle w:val="43"/>
          <w:rFonts w:hint="eastAsia" w:ascii="宋体" w:hAnsi="宋体" w:eastAsia="宋体" w:cs="宋体"/>
          <w:b/>
          <w:bCs/>
          <w:color w:val="auto"/>
          <w:sz w:val="48"/>
          <w:szCs w:val="48"/>
          <w:highlight w:val="none"/>
        </w:rPr>
      </w:pPr>
    </w:p>
    <w:p w14:paraId="5ABC8E99">
      <w:pPr>
        <w:pStyle w:val="18"/>
        <w:keepNext w:val="0"/>
        <w:pageBreakBefore w:val="0"/>
        <w:widowControl w:val="0"/>
        <w:overflowPunct/>
        <w:topLinePunct w:val="0"/>
        <w:bidi w:val="0"/>
        <w:jc w:val="center"/>
        <w:rPr>
          <w:rStyle w:val="43"/>
          <w:rFonts w:hint="eastAsia" w:ascii="宋体" w:hAnsi="宋体" w:eastAsia="宋体" w:cs="宋体"/>
          <w:b/>
          <w:bCs/>
          <w:color w:val="auto"/>
          <w:sz w:val="48"/>
          <w:szCs w:val="48"/>
          <w:highlight w:val="none"/>
        </w:rPr>
      </w:pPr>
    </w:p>
    <w:p w14:paraId="20826E73">
      <w:pPr>
        <w:pStyle w:val="18"/>
        <w:keepNext w:val="0"/>
        <w:pageBreakBefore w:val="0"/>
        <w:widowControl w:val="0"/>
        <w:overflowPunct/>
        <w:topLinePunct w:val="0"/>
        <w:bidi w:val="0"/>
        <w:jc w:val="center"/>
        <w:rPr>
          <w:rStyle w:val="43"/>
          <w:rFonts w:hint="eastAsia" w:ascii="宋体" w:hAnsi="宋体" w:eastAsia="宋体" w:cs="宋体"/>
          <w:b/>
          <w:bCs/>
          <w:color w:val="auto"/>
          <w:sz w:val="48"/>
          <w:szCs w:val="48"/>
          <w:highlight w:val="none"/>
        </w:rPr>
      </w:pPr>
    </w:p>
    <w:p w14:paraId="12179BBF">
      <w:pPr>
        <w:pStyle w:val="18"/>
        <w:keepNext w:val="0"/>
        <w:pageBreakBefore w:val="0"/>
        <w:widowControl w:val="0"/>
        <w:overflowPunct/>
        <w:topLinePunct w:val="0"/>
        <w:bidi w:val="0"/>
        <w:jc w:val="center"/>
        <w:rPr>
          <w:rStyle w:val="43"/>
          <w:rFonts w:hint="eastAsia" w:ascii="宋体" w:hAnsi="宋体" w:eastAsia="宋体" w:cs="宋体"/>
          <w:b/>
          <w:bCs/>
          <w:color w:val="auto"/>
          <w:szCs w:val="44"/>
          <w:highlight w:val="none"/>
        </w:rPr>
      </w:pPr>
      <w:r>
        <w:rPr>
          <w:rStyle w:val="43"/>
          <w:rFonts w:hint="eastAsia" w:ascii="宋体" w:hAnsi="宋体" w:eastAsia="宋体" w:cs="宋体"/>
          <w:b/>
          <w:bCs/>
          <w:color w:val="auto"/>
          <w:sz w:val="72"/>
          <w:szCs w:val="72"/>
          <w:highlight w:val="none"/>
          <w:lang w:val="en-US" w:eastAsia="zh-CN"/>
        </w:rPr>
        <w:t>采购</w:t>
      </w:r>
      <w:r>
        <w:rPr>
          <w:rStyle w:val="43"/>
          <w:rFonts w:hint="eastAsia" w:ascii="宋体" w:hAnsi="宋体" w:eastAsia="宋体" w:cs="宋体"/>
          <w:b/>
          <w:bCs/>
          <w:color w:val="auto"/>
          <w:sz w:val="72"/>
          <w:szCs w:val="72"/>
          <w:highlight w:val="none"/>
        </w:rPr>
        <w:t>文件</w:t>
      </w:r>
    </w:p>
    <w:p w14:paraId="76626E87">
      <w:pPr>
        <w:keepNext w:val="0"/>
        <w:pageBreakBefore w:val="0"/>
        <w:widowControl w:val="0"/>
        <w:tabs>
          <w:tab w:val="left" w:pos="2700"/>
          <w:tab w:val="left" w:pos="2880"/>
          <w:tab w:val="left" w:pos="3060"/>
          <w:tab w:val="left" w:pos="7560"/>
        </w:tabs>
        <w:overflowPunct/>
        <w:topLinePunct w:val="0"/>
        <w:bidi w:val="0"/>
        <w:snapToGrid w:val="0"/>
        <w:spacing w:line="360" w:lineRule="auto"/>
        <w:ind w:firstLine="1928" w:firstLineChars="600"/>
        <w:jc w:val="both"/>
        <w:rPr>
          <w:rFonts w:hint="eastAsia" w:ascii="宋体" w:hAnsi="宋体" w:eastAsia="宋体" w:cs="宋体"/>
          <w:b/>
          <w:bCs/>
          <w:color w:val="auto"/>
          <w:spacing w:val="-10"/>
          <w:sz w:val="34"/>
          <w:szCs w:val="34"/>
          <w:highlight w:val="none"/>
          <w:lang w:val="en-US" w:eastAsia="zh-CN"/>
        </w:rPr>
      </w:pPr>
    </w:p>
    <w:p w14:paraId="30933B8F">
      <w:pPr>
        <w:keepNext w:val="0"/>
        <w:pageBreakBefore w:val="0"/>
        <w:widowControl w:val="0"/>
        <w:overflowPunct/>
        <w:topLinePunct w:val="0"/>
        <w:bidi w:val="0"/>
        <w:snapToGrid w:val="0"/>
        <w:spacing w:line="380" w:lineRule="exact"/>
        <w:jc w:val="center"/>
        <w:rPr>
          <w:rFonts w:hint="eastAsia" w:ascii="宋体" w:hAnsi="宋体" w:eastAsia="宋体" w:cs="宋体"/>
          <w:b/>
          <w:color w:val="auto"/>
          <w:sz w:val="32"/>
          <w:szCs w:val="32"/>
          <w:highlight w:val="none"/>
        </w:rPr>
      </w:pPr>
    </w:p>
    <w:p w14:paraId="41A0088B">
      <w:pPr>
        <w:pStyle w:val="31"/>
        <w:keepNext w:val="0"/>
        <w:pageBreakBefore w:val="0"/>
        <w:widowControl w:val="0"/>
        <w:overflowPunct/>
        <w:topLinePunct w:val="0"/>
        <w:bidi w:val="0"/>
        <w:rPr>
          <w:rFonts w:hint="eastAsia" w:ascii="宋体" w:hAnsi="宋体" w:eastAsia="宋体" w:cs="宋体"/>
          <w:color w:val="auto"/>
          <w:highlight w:val="none"/>
        </w:rPr>
      </w:pPr>
    </w:p>
    <w:p w14:paraId="1478C157">
      <w:pPr>
        <w:pStyle w:val="61"/>
        <w:keepNext w:val="0"/>
        <w:pageBreakBefore w:val="0"/>
        <w:widowControl w:val="0"/>
        <w:overflowPunct/>
        <w:topLinePunct w:val="0"/>
        <w:bidi w:val="0"/>
        <w:rPr>
          <w:rFonts w:hint="eastAsia" w:ascii="宋体" w:hAnsi="宋体" w:eastAsia="宋体" w:cs="宋体"/>
          <w:bCs/>
          <w:color w:val="auto"/>
          <w:sz w:val="2"/>
          <w:szCs w:val="2"/>
          <w:highlight w:val="none"/>
        </w:rPr>
      </w:pPr>
    </w:p>
    <w:p w14:paraId="6F43A5E5">
      <w:pPr>
        <w:keepNext w:val="0"/>
        <w:pageBreakBefore w:val="0"/>
        <w:widowControl w:val="0"/>
        <w:overflowPunct/>
        <w:topLinePunct w:val="0"/>
        <w:bidi w:val="0"/>
        <w:rPr>
          <w:rFonts w:hint="eastAsia" w:ascii="宋体" w:hAnsi="宋体" w:eastAsia="宋体" w:cs="宋体"/>
          <w:bCs/>
          <w:color w:val="auto"/>
          <w:sz w:val="2"/>
          <w:szCs w:val="2"/>
          <w:highlight w:val="none"/>
        </w:rPr>
      </w:pPr>
    </w:p>
    <w:p w14:paraId="21FDF0F3">
      <w:pPr>
        <w:keepNext w:val="0"/>
        <w:pageBreakBefore w:val="0"/>
        <w:widowControl w:val="0"/>
        <w:overflowPunct/>
        <w:topLinePunct w:val="0"/>
        <w:bidi w:val="0"/>
        <w:spacing w:line="20" w:lineRule="exact"/>
        <w:rPr>
          <w:rFonts w:hint="eastAsia" w:ascii="宋体" w:hAnsi="宋体" w:eastAsia="宋体" w:cs="宋体"/>
          <w:bCs/>
          <w:color w:val="auto"/>
          <w:sz w:val="2"/>
          <w:szCs w:val="2"/>
          <w:highlight w:val="none"/>
        </w:rPr>
      </w:pPr>
    </w:p>
    <w:p w14:paraId="7B1AF9DD">
      <w:pPr>
        <w:keepNext w:val="0"/>
        <w:pageBreakBefore w:val="0"/>
        <w:widowControl w:val="0"/>
        <w:tabs>
          <w:tab w:val="left" w:pos="2700"/>
          <w:tab w:val="left" w:pos="2880"/>
          <w:tab w:val="left" w:pos="3060"/>
          <w:tab w:val="left" w:pos="7560"/>
        </w:tabs>
        <w:overflowPunct/>
        <w:topLinePunct w:val="0"/>
        <w:bidi w:val="0"/>
        <w:snapToGrid w:val="0"/>
        <w:spacing w:line="480" w:lineRule="auto"/>
        <w:ind w:firstLine="1928" w:firstLineChars="600"/>
        <w:rPr>
          <w:rFonts w:hint="eastAsia" w:ascii="宋体" w:hAnsi="宋体" w:eastAsia="宋体" w:cs="宋体"/>
          <w:b/>
          <w:bCs/>
          <w:color w:val="auto"/>
          <w:spacing w:val="-10"/>
          <w:sz w:val="34"/>
          <w:szCs w:val="34"/>
          <w:highlight w:val="none"/>
          <w:lang w:val="en-US" w:eastAsia="zh-CN"/>
        </w:rPr>
      </w:pPr>
    </w:p>
    <w:p w14:paraId="1E415EDD">
      <w:pPr>
        <w:keepNext w:val="0"/>
        <w:pageBreakBefore w:val="0"/>
        <w:widowControl w:val="0"/>
        <w:tabs>
          <w:tab w:val="left" w:pos="2700"/>
          <w:tab w:val="left" w:pos="2880"/>
          <w:tab w:val="left" w:pos="3060"/>
          <w:tab w:val="left" w:pos="7560"/>
        </w:tabs>
        <w:overflowPunct/>
        <w:topLinePunct w:val="0"/>
        <w:bidi w:val="0"/>
        <w:snapToGrid w:val="0"/>
        <w:spacing w:line="480" w:lineRule="auto"/>
        <w:ind w:firstLine="1928" w:firstLineChars="600"/>
        <w:rPr>
          <w:rFonts w:hint="eastAsia" w:ascii="宋体" w:hAnsi="宋体" w:eastAsia="宋体" w:cs="宋体"/>
          <w:b/>
          <w:bCs/>
          <w:color w:val="auto"/>
          <w:spacing w:val="-10"/>
          <w:sz w:val="34"/>
          <w:szCs w:val="34"/>
          <w:highlight w:val="none"/>
          <w:lang w:val="en-US" w:eastAsia="zh-CN"/>
        </w:rPr>
      </w:pPr>
    </w:p>
    <w:p w14:paraId="7D27EEAE">
      <w:pPr>
        <w:keepNext w:val="0"/>
        <w:pageBreakBefore w:val="0"/>
        <w:widowControl w:val="0"/>
        <w:tabs>
          <w:tab w:val="left" w:pos="2700"/>
          <w:tab w:val="left" w:pos="2880"/>
          <w:tab w:val="left" w:pos="3060"/>
          <w:tab w:val="left" w:pos="7560"/>
        </w:tabs>
        <w:overflowPunct/>
        <w:topLinePunct w:val="0"/>
        <w:bidi w:val="0"/>
        <w:snapToGrid w:val="0"/>
        <w:spacing w:line="480" w:lineRule="auto"/>
        <w:ind w:left="0" w:leftChars="0" w:firstLine="0" w:firstLineChars="0"/>
        <w:jc w:val="center"/>
        <w:rPr>
          <w:rFonts w:hint="eastAsia" w:ascii="宋体" w:hAnsi="宋体" w:eastAsia="宋体" w:cs="宋体"/>
          <w:b/>
          <w:bCs/>
          <w:color w:val="auto"/>
          <w:spacing w:val="-10"/>
          <w:sz w:val="34"/>
          <w:szCs w:val="34"/>
          <w:highlight w:val="none"/>
          <w:lang w:val="en-US" w:eastAsia="zh-CN"/>
        </w:rPr>
      </w:pPr>
    </w:p>
    <w:p w14:paraId="5CC28899">
      <w:pPr>
        <w:keepNext w:val="0"/>
        <w:pageBreakBefore w:val="0"/>
        <w:widowControl w:val="0"/>
        <w:tabs>
          <w:tab w:val="left" w:pos="2700"/>
          <w:tab w:val="left" w:pos="2880"/>
          <w:tab w:val="left" w:pos="3060"/>
          <w:tab w:val="left" w:pos="7560"/>
        </w:tabs>
        <w:overflowPunct/>
        <w:topLinePunct w:val="0"/>
        <w:bidi w:val="0"/>
        <w:snapToGrid w:val="0"/>
        <w:spacing w:line="480" w:lineRule="auto"/>
        <w:ind w:left="0" w:leftChars="0" w:firstLine="0" w:firstLineChars="0"/>
        <w:jc w:val="center"/>
        <w:rPr>
          <w:rFonts w:hint="eastAsia" w:ascii="宋体" w:hAnsi="宋体" w:eastAsia="宋体" w:cs="宋体"/>
          <w:b/>
          <w:bCs/>
          <w:color w:val="auto"/>
          <w:spacing w:val="80"/>
          <w:sz w:val="34"/>
          <w:szCs w:val="34"/>
          <w:highlight w:val="none"/>
        </w:rPr>
      </w:pPr>
      <w:r>
        <w:rPr>
          <w:rFonts w:hint="eastAsia" w:ascii="宋体" w:hAnsi="宋体" w:eastAsia="宋体" w:cs="宋体"/>
          <w:b/>
          <w:bCs/>
          <w:color w:val="auto"/>
          <w:spacing w:val="-10"/>
          <w:sz w:val="34"/>
          <w:szCs w:val="34"/>
          <w:highlight w:val="none"/>
          <w:lang w:val="en-US" w:eastAsia="zh-CN"/>
        </w:rPr>
        <w:t>采 购</w:t>
      </w:r>
      <w:r>
        <w:rPr>
          <w:rFonts w:hint="eastAsia" w:ascii="宋体" w:hAnsi="宋体" w:eastAsia="宋体" w:cs="宋体"/>
          <w:b/>
          <w:bCs/>
          <w:color w:val="auto"/>
          <w:spacing w:val="-10"/>
          <w:sz w:val="34"/>
          <w:szCs w:val="34"/>
          <w:highlight w:val="none"/>
        </w:rPr>
        <w:t xml:space="preserve"> 人：驻马店市中心医院</w:t>
      </w:r>
    </w:p>
    <w:p w14:paraId="11E7A050">
      <w:pPr>
        <w:keepNext w:val="0"/>
        <w:pageBreakBefore w:val="0"/>
        <w:widowControl w:val="0"/>
        <w:tabs>
          <w:tab w:val="left" w:pos="2505"/>
          <w:tab w:val="center" w:pos="4535"/>
        </w:tabs>
        <w:overflowPunct/>
        <w:topLinePunct w:val="0"/>
        <w:bidi w:val="0"/>
        <w:snapToGrid w:val="0"/>
        <w:spacing w:line="480" w:lineRule="auto"/>
        <w:jc w:val="center"/>
        <w:rPr>
          <w:rFonts w:hint="eastAsia" w:ascii="宋体" w:hAnsi="宋体" w:eastAsia="宋体" w:cs="宋体"/>
          <w:b/>
          <w:color w:val="auto"/>
          <w:sz w:val="36"/>
          <w:szCs w:val="36"/>
          <w:highlight w:val="none"/>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color w:val="auto"/>
          <w:spacing w:val="40"/>
          <w:sz w:val="34"/>
          <w:szCs w:val="34"/>
          <w:highlight w:val="none"/>
          <w:lang w:val="en-US" w:eastAsia="zh-CN"/>
        </w:rPr>
        <w:t>2025</w:t>
      </w:r>
      <w:r>
        <w:rPr>
          <w:rFonts w:hint="eastAsia" w:ascii="宋体" w:hAnsi="宋体" w:eastAsia="宋体" w:cs="宋体"/>
          <w:b/>
          <w:bCs/>
          <w:color w:val="auto"/>
          <w:spacing w:val="40"/>
          <w:sz w:val="34"/>
          <w:szCs w:val="34"/>
          <w:highlight w:val="none"/>
        </w:rPr>
        <w:t>年</w:t>
      </w:r>
      <w:r>
        <w:rPr>
          <w:rFonts w:hint="eastAsia" w:ascii="宋体" w:hAnsi="宋体" w:cs="宋体"/>
          <w:b/>
          <w:bCs/>
          <w:color w:val="auto"/>
          <w:spacing w:val="40"/>
          <w:sz w:val="34"/>
          <w:szCs w:val="34"/>
          <w:highlight w:val="none"/>
          <w:lang w:val="en-US" w:eastAsia="zh-CN"/>
        </w:rPr>
        <w:t>06</w:t>
      </w:r>
      <w:r>
        <w:rPr>
          <w:rFonts w:hint="eastAsia" w:ascii="宋体" w:hAnsi="宋体" w:eastAsia="宋体" w:cs="宋体"/>
          <w:b/>
          <w:bCs/>
          <w:color w:val="auto"/>
          <w:spacing w:val="40"/>
          <w:sz w:val="34"/>
          <w:szCs w:val="34"/>
          <w:highlight w:val="none"/>
        </w:rPr>
        <w:t>月</w:t>
      </w:r>
    </w:p>
    <w:p w14:paraId="24C943CC">
      <w:pPr>
        <w:keepNext w:val="0"/>
        <w:pageBreakBefore w:val="0"/>
        <w:widowControl w:val="0"/>
        <w:overflowPunct/>
        <w:topLinePunct w:val="0"/>
        <w:bidi w:val="0"/>
        <w:rPr>
          <w:rFonts w:hint="eastAsia" w:ascii="宋体" w:hAnsi="宋体" w:eastAsia="宋体" w:cs="宋体"/>
          <w:bCs/>
          <w:color w:val="auto"/>
          <w:sz w:val="24"/>
          <w:highlight w:val="none"/>
        </w:rPr>
      </w:pPr>
    </w:p>
    <w:p w14:paraId="5FE7AB9D">
      <w:pPr>
        <w:keepNext w:val="0"/>
        <w:pageBreakBefore w:val="0"/>
        <w:widowControl w:val="0"/>
        <w:overflowPunct/>
        <w:topLinePunct w:val="0"/>
        <w:bidi w:val="0"/>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t>目录</w:t>
      </w:r>
    </w:p>
    <w:p w14:paraId="6C886C89">
      <w:pPr>
        <w:pStyle w:val="55"/>
        <w:keepNext w:val="0"/>
        <w:pageBreakBefore w:val="0"/>
        <w:widowControl w:val="0"/>
        <w:overflowPunct/>
        <w:topLinePunct w:val="0"/>
        <w:bidi w:val="0"/>
        <w:rPr>
          <w:rFonts w:hint="eastAsia" w:ascii="宋体" w:hAnsi="宋体" w:eastAsia="宋体" w:cs="宋体"/>
          <w:color w:val="auto"/>
          <w:highlight w:val="none"/>
        </w:rPr>
      </w:pPr>
    </w:p>
    <w:p w14:paraId="5621469A">
      <w:pPr>
        <w:pStyle w:val="24"/>
        <w:keepNext w:val="0"/>
        <w:keepLines w:val="0"/>
        <w:pageBreakBefore w:val="0"/>
        <w:widowControl w:val="0"/>
        <w:tabs>
          <w:tab w:val="right" w:leader="dot" w:pos="8958"/>
        </w:tabs>
        <w:kinsoku/>
        <w:wordWrap/>
        <w:overflowPunct/>
        <w:topLinePunct w:val="0"/>
        <w:autoSpaceDE/>
        <w:autoSpaceDN/>
        <w:bidi w:val="0"/>
        <w:adjustRightInd/>
        <w:snapToGrid/>
        <w:spacing w:line="500" w:lineRule="exact"/>
        <w:textAlignment w:val="auto"/>
        <w:rPr>
          <w:rFonts w:hint="eastAsia" w:ascii="宋体" w:hAnsi="宋体" w:eastAsia="宋体" w:cs="宋体"/>
          <w:color w:val="auto"/>
          <w:highlight w:val="none"/>
        </w:rPr>
      </w:pPr>
      <w:r>
        <w:rPr>
          <w:rFonts w:hint="eastAsia" w:ascii="宋体" w:hAnsi="宋体" w:eastAsia="宋体" w:cs="宋体"/>
          <w:b/>
          <w:bCs/>
          <w:color w:val="auto"/>
          <w:sz w:val="32"/>
          <w:szCs w:val="32"/>
          <w:highlight w:val="none"/>
        </w:rPr>
        <w:fldChar w:fldCharType="begin"/>
      </w:r>
      <w:r>
        <w:rPr>
          <w:rFonts w:hint="eastAsia" w:ascii="宋体" w:hAnsi="宋体" w:eastAsia="宋体" w:cs="宋体"/>
          <w:b/>
          <w:bCs/>
          <w:color w:val="auto"/>
          <w:sz w:val="32"/>
          <w:szCs w:val="32"/>
          <w:highlight w:val="none"/>
        </w:rPr>
        <w:instrText xml:space="preserve">TOC \o "1-1" \h \u </w:instrText>
      </w:r>
      <w:r>
        <w:rPr>
          <w:rFonts w:hint="eastAsia" w:ascii="宋体" w:hAnsi="宋体" w:eastAsia="宋体" w:cs="宋体"/>
          <w:b/>
          <w:bCs/>
          <w:color w:val="auto"/>
          <w:sz w:val="32"/>
          <w:szCs w:val="32"/>
          <w:highlight w:val="none"/>
        </w:rPr>
        <w:fldChar w:fldCharType="separate"/>
      </w:r>
      <w:r>
        <w:rPr>
          <w:rFonts w:hint="eastAsia" w:ascii="宋体" w:hAnsi="宋体" w:eastAsia="宋体" w:cs="宋体"/>
          <w:bCs/>
          <w:color w:val="auto"/>
          <w:szCs w:val="32"/>
          <w:highlight w:val="none"/>
        </w:rPr>
        <w:fldChar w:fldCharType="begin"/>
      </w:r>
      <w:r>
        <w:rPr>
          <w:rFonts w:hint="eastAsia" w:ascii="宋体" w:hAnsi="宋体" w:eastAsia="宋体" w:cs="宋体"/>
          <w:bCs/>
          <w:color w:val="auto"/>
          <w:szCs w:val="32"/>
          <w:highlight w:val="none"/>
        </w:rPr>
        <w:instrText xml:space="preserve"> HYPERLINK \l _Toc26528 </w:instrText>
      </w:r>
      <w:r>
        <w:rPr>
          <w:rFonts w:hint="eastAsia" w:ascii="宋体" w:hAnsi="宋体" w:eastAsia="宋体" w:cs="宋体"/>
          <w:bCs/>
          <w:color w:val="auto"/>
          <w:szCs w:val="32"/>
          <w:highlight w:val="none"/>
        </w:rPr>
        <w:fldChar w:fldCharType="separate"/>
      </w:r>
      <w:r>
        <w:rPr>
          <w:rFonts w:hint="eastAsia" w:ascii="宋体" w:hAnsi="宋体" w:eastAsia="宋体" w:cs="宋体"/>
          <w:color w:val="auto"/>
          <w:szCs w:val="32"/>
          <w:highlight w:val="none"/>
        </w:rPr>
        <w:t xml:space="preserve">第一章  </w:t>
      </w:r>
      <w:r>
        <w:rPr>
          <w:rFonts w:hint="eastAsia" w:ascii="宋体" w:hAnsi="宋体" w:eastAsia="宋体" w:cs="宋体"/>
          <w:color w:val="auto"/>
          <w:szCs w:val="32"/>
          <w:highlight w:val="none"/>
          <w:lang w:val="en-US" w:eastAsia="zh-CN"/>
        </w:rPr>
        <w:t>竞争性磋商采购</w:t>
      </w:r>
      <w:r>
        <w:rPr>
          <w:rFonts w:hint="eastAsia" w:ascii="宋体" w:hAnsi="宋体" w:eastAsia="宋体" w:cs="宋体"/>
          <w:color w:val="auto"/>
          <w:szCs w:val="32"/>
          <w:highlight w:val="none"/>
        </w:rPr>
        <w:t>公告</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_Toc26528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2</w:t>
      </w:r>
      <w:r>
        <w:rPr>
          <w:rFonts w:hint="eastAsia" w:ascii="宋体" w:hAnsi="宋体" w:eastAsia="宋体" w:cs="宋体"/>
          <w:color w:val="auto"/>
          <w:highlight w:val="none"/>
        </w:rPr>
        <w:fldChar w:fldCharType="end"/>
      </w:r>
      <w:r>
        <w:rPr>
          <w:rFonts w:hint="eastAsia" w:ascii="宋体" w:hAnsi="宋体" w:eastAsia="宋体" w:cs="宋体"/>
          <w:bCs/>
          <w:color w:val="auto"/>
          <w:szCs w:val="32"/>
          <w:highlight w:val="none"/>
        </w:rPr>
        <w:fldChar w:fldCharType="end"/>
      </w:r>
    </w:p>
    <w:p w14:paraId="78C5A8E5">
      <w:pPr>
        <w:pStyle w:val="24"/>
        <w:keepNext w:val="0"/>
        <w:keepLines w:val="0"/>
        <w:pageBreakBefore w:val="0"/>
        <w:widowControl w:val="0"/>
        <w:tabs>
          <w:tab w:val="right" w:leader="dot" w:pos="8958"/>
        </w:tabs>
        <w:kinsoku/>
        <w:wordWrap/>
        <w:overflowPunct/>
        <w:topLinePunct w:val="0"/>
        <w:autoSpaceDE/>
        <w:autoSpaceDN/>
        <w:bidi w:val="0"/>
        <w:adjustRightInd/>
        <w:snapToGrid/>
        <w:spacing w:line="500" w:lineRule="exact"/>
        <w:textAlignment w:val="auto"/>
        <w:rPr>
          <w:rFonts w:hint="eastAsia" w:ascii="宋体" w:hAnsi="宋体" w:eastAsia="宋体" w:cs="宋体"/>
          <w:color w:val="auto"/>
          <w:highlight w:val="none"/>
        </w:rPr>
      </w:pPr>
      <w:r>
        <w:rPr>
          <w:rFonts w:hint="eastAsia" w:ascii="宋体" w:hAnsi="宋体" w:eastAsia="宋体" w:cs="宋体"/>
          <w:bCs/>
          <w:color w:val="auto"/>
          <w:szCs w:val="32"/>
          <w:highlight w:val="none"/>
        </w:rPr>
        <w:fldChar w:fldCharType="begin"/>
      </w:r>
      <w:r>
        <w:rPr>
          <w:rFonts w:hint="eastAsia" w:ascii="宋体" w:hAnsi="宋体" w:eastAsia="宋体" w:cs="宋体"/>
          <w:bCs/>
          <w:color w:val="auto"/>
          <w:szCs w:val="32"/>
          <w:highlight w:val="none"/>
        </w:rPr>
        <w:instrText xml:space="preserve"> HYPERLINK \l _Toc19124 </w:instrText>
      </w:r>
      <w:r>
        <w:rPr>
          <w:rFonts w:hint="eastAsia" w:ascii="宋体" w:hAnsi="宋体" w:eastAsia="宋体" w:cs="宋体"/>
          <w:bCs/>
          <w:color w:val="auto"/>
          <w:szCs w:val="32"/>
          <w:highlight w:val="none"/>
        </w:rPr>
        <w:fldChar w:fldCharType="separate"/>
      </w:r>
      <w:r>
        <w:rPr>
          <w:rFonts w:hint="eastAsia" w:ascii="宋体" w:hAnsi="宋体" w:eastAsia="宋体" w:cs="宋体"/>
          <w:color w:val="auto"/>
          <w:szCs w:val="32"/>
          <w:highlight w:val="none"/>
        </w:rPr>
        <w:t xml:space="preserve">第二章  </w:t>
      </w:r>
      <w:r>
        <w:rPr>
          <w:rFonts w:hint="eastAsia" w:ascii="宋体" w:hAnsi="宋体" w:eastAsia="宋体" w:cs="宋体"/>
          <w:color w:val="auto"/>
          <w:szCs w:val="32"/>
          <w:highlight w:val="none"/>
          <w:lang w:eastAsia="zh-CN"/>
        </w:rPr>
        <w:t>采购</w:t>
      </w:r>
      <w:r>
        <w:rPr>
          <w:rFonts w:hint="eastAsia" w:ascii="宋体" w:hAnsi="宋体" w:eastAsia="宋体" w:cs="宋体"/>
          <w:color w:val="auto"/>
          <w:szCs w:val="32"/>
          <w:highlight w:val="none"/>
        </w:rPr>
        <w:t>需求</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_Toc19124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4</w:t>
      </w:r>
      <w:r>
        <w:rPr>
          <w:rFonts w:hint="eastAsia" w:ascii="宋体" w:hAnsi="宋体" w:eastAsia="宋体" w:cs="宋体"/>
          <w:color w:val="auto"/>
          <w:highlight w:val="none"/>
        </w:rPr>
        <w:fldChar w:fldCharType="end"/>
      </w:r>
      <w:r>
        <w:rPr>
          <w:rFonts w:hint="eastAsia" w:ascii="宋体" w:hAnsi="宋体" w:eastAsia="宋体" w:cs="宋体"/>
          <w:bCs/>
          <w:color w:val="auto"/>
          <w:szCs w:val="32"/>
          <w:highlight w:val="none"/>
        </w:rPr>
        <w:fldChar w:fldCharType="end"/>
      </w:r>
    </w:p>
    <w:p w14:paraId="2B55758C">
      <w:pPr>
        <w:pStyle w:val="24"/>
        <w:keepNext w:val="0"/>
        <w:keepLines w:val="0"/>
        <w:pageBreakBefore w:val="0"/>
        <w:widowControl w:val="0"/>
        <w:tabs>
          <w:tab w:val="right" w:leader="dot" w:pos="8958"/>
        </w:tabs>
        <w:kinsoku/>
        <w:wordWrap/>
        <w:overflowPunct/>
        <w:topLinePunct w:val="0"/>
        <w:autoSpaceDE/>
        <w:autoSpaceDN/>
        <w:bidi w:val="0"/>
        <w:adjustRightInd/>
        <w:snapToGrid/>
        <w:spacing w:line="500" w:lineRule="exact"/>
        <w:textAlignment w:val="auto"/>
        <w:rPr>
          <w:rFonts w:hint="eastAsia" w:ascii="宋体" w:hAnsi="宋体" w:eastAsia="宋体" w:cs="宋体"/>
          <w:color w:val="auto"/>
          <w:highlight w:val="none"/>
        </w:rPr>
      </w:pPr>
      <w:r>
        <w:rPr>
          <w:rFonts w:hint="eastAsia" w:ascii="宋体" w:hAnsi="宋体" w:eastAsia="宋体" w:cs="宋体"/>
          <w:bCs/>
          <w:color w:val="auto"/>
          <w:szCs w:val="32"/>
          <w:highlight w:val="none"/>
        </w:rPr>
        <w:fldChar w:fldCharType="begin"/>
      </w:r>
      <w:r>
        <w:rPr>
          <w:rFonts w:hint="eastAsia" w:ascii="宋体" w:hAnsi="宋体" w:eastAsia="宋体" w:cs="宋体"/>
          <w:bCs/>
          <w:color w:val="auto"/>
          <w:szCs w:val="32"/>
          <w:highlight w:val="none"/>
        </w:rPr>
        <w:instrText xml:space="preserve"> HYPERLINK \l _Toc8501 </w:instrText>
      </w:r>
      <w:r>
        <w:rPr>
          <w:rFonts w:hint="eastAsia" w:ascii="宋体" w:hAnsi="宋体" w:eastAsia="宋体" w:cs="宋体"/>
          <w:bCs/>
          <w:color w:val="auto"/>
          <w:szCs w:val="32"/>
          <w:highlight w:val="none"/>
        </w:rPr>
        <w:fldChar w:fldCharType="separate"/>
      </w:r>
      <w:r>
        <w:rPr>
          <w:rFonts w:hint="eastAsia" w:ascii="宋体" w:hAnsi="宋体" w:eastAsia="宋体" w:cs="宋体"/>
          <w:bCs/>
          <w:color w:val="auto"/>
          <w:szCs w:val="32"/>
          <w:highlight w:val="none"/>
        </w:rPr>
        <w:t xml:space="preserve">第三章  </w:t>
      </w:r>
      <w:r>
        <w:rPr>
          <w:rFonts w:hint="eastAsia" w:ascii="宋体" w:hAnsi="宋体" w:eastAsia="宋体" w:cs="宋体"/>
          <w:bCs/>
          <w:color w:val="auto"/>
          <w:szCs w:val="32"/>
          <w:highlight w:val="none"/>
          <w:lang w:eastAsia="zh-CN"/>
        </w:rPr>
        <w:t>供应商</w:t>
      </w:r>
      <w:r>
        <w:rPr>
          <w:rFonts w:hint="eastAsia" w:ascii="宋体" w:hAnsi="宋体" w:eastAsia="宋体" w:cs="宋体"/>
          <w:bCs/>
          <w:color w:val="auto"/>
          <w:szCs w:val="32"/>
          <w:highlight w:val="none"/>
        </w:rPr>
        <w:t>须知</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_Toc8501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8</w:t>
      </w:r>
      <w:r>
        <w:rPr>
          <w:rFonts w:hint="eastAsia" w:ascii="宋体" w:hAnsi="宋体" w:eastAsia="宋体" w:cs="宋体"/>
          <w:color w:val="auto"/>
          <w:highlight w:val="none"/>
        </w:rPr>
        <w:fldChar w:fldCharType="end"/>
      </w:r>
      <w:r>
        <w:rPr>
          <w:rFonts w:hint="eastAsia" w:ascii="宋体" w:hAnsi="宋体" w:eastAsia="宋体" w:cs="宋体"/>
          <w:bCs/>
          <w:color w:val="auto"/>
          <w:szCs w:val="32"/>
          <w:highlight w:val="none"/>
        </w:rPr>
        <w:fldChar w:fldCharType="end"/>
      </w:r>
    </w:p>
    <w:p w14:paraId="31D52CE9">
      <w:pPr>
        <w:pStyle w:val="24"/>
        <w:keepNext w:val="0"/>
        <w:keepLines w:val="0"/>
        <w:pageBreakBefore w:val="0"/>
        <w:widowControl w:val="0"/>
        <w:tabs>
          <w:tab w:val="right" w:leader="dot" w:pos="8958"/>
        </w:tabs>
        <w:kinsoku/>
        <w:wordWrap/>
        <w:overflowPunct/>
        <w:topLinePunct w:val="0"/>
        <w:autoSpaceDE/>
        <w:autoSpaceDN/>
        <w:bidi w:val="0"/>
        <w:adjustRightInd/>
        <w:snapToGrid/>
        <w:spacing w:line="500" w:lineRule="exact"/>
        <w:textAlignment w:val="auto"/>
        <w:rPr>
          <w:rFonts w:hint="eastAsia" w:ascii="宋体" w:hAnsi="宋体" w:eastAsia="宋体" w:cs="宋体"/>
          <w:color w:val="auto"/>
          <w:highlight w:val="none"/>
        </w:rPr>
      </w:pPr>
      <w:r>
        <w:rPr>
          <w:rFonts w:hint="eastAsia" w:ascii="宋体" w:hAnsi="宋体" w:eastAsia="宋体" w:cs="宋体"/>
          <w:bCs/>
          <w:color w:val="auto"/>
          <w:szCs w:val="32"/>
          <w:highlight w:val="none"/>
        </w:rPr>
        <w:fldChar w:fldCharType="begin"/>
      </w:r>
      <w:r>
        <w:rPr>
          <w:rFonts w:hint="eastAsia" w:ascii="宋体" w:hAnsi="宋体" w:eastAsia="宋体" w:cs="宋体"/>
          <w:bCs/>
          <w:color w:val="auto"/>
          <w:szCs w:val="32"/>
          <w:highlight w:val="none"/>
        </w:rPr>
        <w:instrText xml:space="preserve"> HYPERLINK \l _Toc31399 </w:instrText>
      </w:r>
      <w:r>
        <w:rPr>
          <w:rFonts w:hint="eastAsia" w:ascii="宋体" w:hAnsi="宋体" w:eastAsia="宋体" w:cs="宋体"/>
          <w:bCs/>
          <w:color w:val="auto"/>
          <w:szCs w:val="32"/>
          <w:highlight w:val="none"/>
        </w:rPr>
        <w:fldChar w:fldCharType="separate"/>
      </w:r>
      <w:r>
        <w:rPr>
          <w:rFonts w:hint="eastAsia" w:ascii="宋体" w:hAnsi="宋体" w:eastAsia="宋体" w:cs="宋体"/>
          <w:bCs/>
          <w:color w:val="auto"/>
          <w:kern w:val="0"/>
          <w:szCs w:val="32"/>
          <w:highlight w:val="none"/>
        </w:rPr>
        <w:t>第四章  评标办法及评分标准</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_Toc31399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18</w:t>
      </w:r>
      <w:r>
        <w:rPr>
          <w:rFonts w:hint="eastAsia" w:ascii="宋体" w:hAnsi="宋体" w:eastAsia="宋体" w:cs="宋体"/>
          <w:color w:val="auto"/>
          <w:highlight w:val="none"/>
        </w:rPr>
        <w:fldChar w:fldCharType="end"/>
      </w:r>
      <w:r>
        <w:rPr>
          <w:rFonts w:hint="eastAsia" w:ascii="宋体" w:hAnsi="宋体" w:eastAsia="宋体" w:cs="宋体"/>
          <w:bCs/>
          <w:color w:val="auto"/>
          <w:szCs w:val="32"/>
          <w:highlight w:val="none"/>
        </w:rPr>
        <w:fldChar w:fldCharType="end"/>
      </w:r>
    </w:p>
    <w:p w14:paraId="5C59EEF9">
      <w:pPr>
        <w:pStyle w:val="24"/>
        <w:keepNext w:val="0"/>
        <w:keepLines w:val="0"/>
        <w:pageBreakBefore w:val="0"/>
        <w:widowControl w:val="0"/>
        <w:tabs>
          <w:tab w:val="right" w:leader="dot" w:pos="8958"/>
        </w:tabs>
        <w:kinsoku/>
        <w:wordWrap/>
        <w:overflowPunct/>
        <w:topLinePunct w:val="0"/>
        <w:autoSpaceDE/>
        <w:autoSpaceDN/>
        <w:bidi w:val="0"/>
        <w:adjustRightInd/>
        <w:snapToGrid/>
        <w:spacing w:line="500" w:lineRule="exact"/>
        <w:textAlignment w:val="auto"/>
        <w:rPr>
          <w:rFonts w:hint="eastAsia" w:ascii="宋体" w:hAnsi="宋体" w:eastAsia="宋体" w:cs="宋体"/>
          <w:color w:val="auto"/>
          <w:highlight w:val="none"/>
        </w:rPr>
      </w:pPr>
      <w:r>
        <w:rPr>
          <w:rFonts w:hint="eastAsia" w:ascii="宋体" w:hAnsi="宋体" w:eastAsia="宋体" w:cs="宋体"/>
          <w:bCs/>
          <w:color w:val="auto"/>
          <w:szCs w:val="32"/>
          <w:highlight w:val="none"/>
        </w:rPr>
        <w:fldChar w:fldCharType="begin"/>
      </w:r>
      <w:r>
        <w:rPr>
          <w:rFonts w:hint="eastAsia" w:ascii="宋体" w:hAnsi="宋体" w:eastAsia="宋体" w:cs="宋体"/>
          <w:bCs/>
          <w:color w:val="auto"/>
          <w:szCs w:val="32"/>
          <w:highlight w:val="none"/>
        </w:rPr>
        <w:instrText xml:space="preserve"> HYPERLINK \l _Toc11904 </w:instrText>
      </w:r>
      <w:r>
        <w:rPr>
          <w:rFonts w:hint="eastAsia" w:ascii="宋体" w:hAnsi="宋体" w:eastAsia="宋体" w:cs="宋体"/>
          <w:bCs/>
          <w:color w:val="auto"/>
          <w:szCs w:val="32"/>
          <w:highlight w:val="none"/>
        </w:rPr>
        <w:fldChar w:fldCharType="separate"/>
      </w:r>
      <w:r>
        <w:rPr>
          <w:rFonts w:hint="eastAsia" w:ascii="宋体" w:hAnsi="宋体" w:eastAsia="宋体" w:cs="宋体"/>
          <w:color w:val="auto"/>
          <w:szCs w:val="28"/>
          <w:highlight w:val="none"/>
        </w:rPr>
        <w:t>第五章  采购合同</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_Toc11904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20</w:t>
      </w:r>
      <w:r>
        <w:rPr>
          <w:rFonts w:hint="eastAsia" w:ascii="宋体" w:hAnsi="宋体" w:eastAsia="宋体" w:cs="宋体"/>
          <w:color w:val="auto"/>
          <w:highlight w:val="none"/>
        </w:rPr>
        <w:fldChar w:fldCharType="end"/>
      </w:r>
      <w:r>
        <w:rPr>
          <w:rFonts w:hint="eastAsia" w:ascii="宋体" w:hAnsi="宋体" w:eastAsia="宋体" w:cs="宋体"/>
          <w:bCs/>
          <w:color w:val="auto"/>
          <w:szCs w:val="32"/>
          <w:highlight w:val="none"/>
        </w:rPr>
        <w:fldChar w:fldCharType="end"/>
      </w:r>
    </w:p>
    <w:p w14:paraId="399D6560">
      <w:pPr>
        <w:pStyle w:val="24"/>
        <w:keepNext w:val="0"/>
        <w:keepLines w:val="0"/>
        <w:pageBreakBefore w:val="0"/>
        <w:widowControl w:val="0"/>
        <w:tabs>
          <w:tab w:val="right" w:leader="dot" w:pos="8958"/>
        </w:tabs>
        <w:kinsoku/>
        <w:wordWrap/>
        <w:overflowPunct/>
        <w:topLinePunct w:val="0"/>
        <w:autoSpaceDE/>
        <w:autoSpaceDN/>
        <w:bidi w:val="0"/>
        <w:adjustRightInd/>
        <w:snapToGrid/>
        <w:spacing w:line="500" w:lineRule="exact"/>
        <w:textAlignment w:val="auto"/>
        <w:rPr>
          <w:color w:val="auto"/>
          <w:highlight w:val="none"/>
        </w:rPr>
      </w:pPr>
      <w:r>
        <w:rPr>
          <w:rFonts w:hint="eastAsia" w:ascii="宋体" w:hAnsi="宋体" w:eastAsia="宋体" w:cs="宋体"/>
          <w:bCs/>
          <w:color w:val="auto"/>
          <w:szCs w:val="32"/>
          <w:highlight w:val="none"/>
        </w:rPr>
        <w:fldChar w:fldCharType="begin"/>
      </w:r>
      <w:r>
        <w:rPr>
          <w:rFonts w:hint="eastAsia" w:ascii="宋体" w:hAnsi="宋体" w:eastAsia="宋体" w:cs="宋体"/>
          <w:bCs/>
          <w:color w:val="auto"/>
          <w:szCs w:val="32"/>
          <w:highlight w:val="none"/>
        </w:rPr>
        <w:instrText xml:space="preserve"> HYPERLINK \l _Toc18702 </w:instrText>
      </w:r>
      <w:r>
        <w:rPr>
          <w:rFonts w:hint="eastAsia" w:ascii="宋体" w:hAnsi="宋体" w:eastAsia="宋体" w:cs="宋体"/>
          <w:bCs/>
          <w:color w:val="auto"/>
          <w:szCs w:val="32"/>
          <w:highlight w:val="none"/>
        </w:rPr>
        <w:fldChar w:fldCharType="separate"/>
      </w:r>
      <w:r>
        <w:rPr>
          <w:rFonts w:hint="eastAsia" w:ascii="宋体" w:hAnsi="宋体" w:eastAsia="宋体" w:cs="宋体"/>
          <w:color w:val="auto"/>
          <w:szCs w:val="32"/>
          <w:highlight w:val="none"/>
        </w:rPr>
        <w:t xml:space="preserve">第六章  </w:t>
      </w:r>
      <w:r>
        <w:rPr>
          <w:rFonts w:hint="eastAsia" w:ascii="宋体" w:hAnsi="宋体" w:eastAsia="宋体" w:cs="宋体"/>
          <w:color w:val="auto"/>
          <w:szCs w:val="32"/>
          <w:highlight w:val="none"/>
          <w:lang w:val="en-US" w:eastAsia="zh-CN"/>
        </w:rPr>
        <w:t>响应</w:t>
      </w:r>
      <w:r>
        <w:rPr>
          <w:rFonts w:hint="eastAsia" w:ascii="宋体" w:hAnsi="宋体" w:eastAsia="宋体" w:cs="宋体"/>
          <w:color w:val="auto"/>
          <w:szCs w:val="32"/>
          <w:highlight w:val="none"/>
        </w:rPr>
        <w:t>文件格式</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_Toc18702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21</w:t>
      </w:r>
      <w:r>
        <w:rPr>
          <w:rFonts w:hint="eastAsia" w:ascii="宋体" w:hAnsi="宋体" w:eastAsia="宋体" w:cs="宋体"/>
          <w:color w:val="auto"/>
          <w:highlight w:val="none"/>
        </w:rPr>
        <w:fldChar w:fldCharType="end"/>
      </w:r>
      <w:r>
        <w:rPr>
          <w:rFonts w:hint="eastAsia" w:ascii="宋体" w:hAnsi="宋体" w:eastAsia="宋体" w:cs="宋体"/>
          <w:bCs/>
          <w:color w:val="auto"/>
          <w:szCs w:val="32"/>
          <w:highlight w:val="none"/>
        </w:rPr>
        <w:fldChar w:fldCharType="end"/>
      </w:r>
    </w:p>
    <w:p w14:paraId="583C03D8">
      <w:pPr>
        <w:pStyle w:val="85"/>
        <w:keepNext w:val="0"/>
        <w:keepLines w:val="0"/>
        <w:pageBreakBefore w:val="0"/>
        <w:widowControl w:val="0"/>
        <w:tabs>
          <w:tab w:val="right" w:leader="dot" w:pos="8300"/>
        </w:tabs>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32"/>
          <w:szCs w:val="32"/>
          <w:highlight w:val="none"/>
        </w:rPr>
      </w:pPr>
      <w:r>
        <w:rPr>
          <w:rFonts w:hint="eastAsia" w:ascii="宋体" w:hAnsi="宋体" w:eastAsia="宋体" w:cs="宋体"/>
          <w:bCs/>
          <w:color w:val="auto"/>
          <w:szCs w:val="32"/>
          <w:highlight w:val="none"/>
        </w:rPr>
        <w:fldChar w:fldCharType="end"/>
      </w:r>
    </w:p>
    <w:p w14:paraId="2DB3124A">
      <w:pPr>
        <w:keepNext w:val="0"/>
        <w:pageBreakBefore w:val="0"/>
        <w:widowControl w:val="0"/>
        <w:overflowPunct/>
        <w:topLinePunct w:val="0"/>
        <w:bidi w:val="0"/>
        <w:spacing w:line="440" w:lineRule="exact"/>
        <w:rPr>
          <w:rFonts w:hint="eastAsia" w:ascii="宋体" w:hAnsi="宋体" w:eastAsia="宋体" w:cs="宋体"/>
          <w:b/>
          <w:color w:val="auto"/>
          <w:sz w:val="32"/>
          <w:szCs w:val="32"/>
          <w:highlight w:val="none"/>
        </w:rPr>
      </w:pPr>
    </w:p>
    <w:p w14:paraId="1EB37B1F">
      <w:pPr>
        <w:keepNext w:val="0"/>
        <w:pageBreakBefore w:val="0"/>
        <w:widowControl w:val="0"/>
        <w:overflowPunct/>
        <w:topLinePunct w:val="0"/>
        <w:bidi w:val="0"/>
        <w:spacing w:line="360" w:lineRule="auto"/>
        <w:ind w:firstLine="2409" w:firstLineChars="600"/>
        <w:rPr>
          <w:rFonts w:hint="eastAsia" w:ascii="宋体" w:hAnsi="宋体" w:eastAsia="宋体" w:cs="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14:paraId="507E5BEB">
      <w:pPr>
        <w:keepNext w:val="0"/>
        <w:pageBreakBefore w:val="0"/>
        <w:widowControl w:val="0"/>
        <w:overflowPunct/>
        <w:topLinePunct w:val="0"/>
        <w:bidi w:val="0"/>
        <w:spacing w:line="360" w:lineRule="auto"/>
        <w:jc w:val="center"/>
        <w:outlineLvl w:val="0"/>
        <w:rPr>
          <w:rFonts w:hint="eastAsia" w:ascii="宋体" w:hAnsi="宋体" w:eastAsia="宋体" w:cs="宋体"/>
          <w:b/>
          <w:color w:val="auto"/>
          <w:sz w:val="32"/>
          <w:szCs w:val="32"/>
          <w:highlight w:val="none"/>
        </w:rPr>
      </w:pPr>
      <w:bookmarkStart w:id="2" w:name="_Toc26528"/>
      <w:r>
        <w:rPr>
          <w:rFonts w:hint="eastAsia" w:ascii="宋体" w:hAnsi="宋体" w:eastAsia="宋体" w:cs="宋体"/>
          <w:b/>
          <w:color w:val="auto"/>
          <w:sz w:val="32"/>
          <w:szCs w:val="32"/>
          <w:highlight w:val="none"/>
        </w:rPr>
        <w:t xml:space="preserve">第一章  </w:t>
      </w:r>
      <w:r>
        <w:rPr>
          <w:rFonts w:hint="eastAsia" w:ascii="宋体" w:hAnsi="宋体" w:eastAsia="宋体" w:cs="宋体"/>
          <w:b/>
          <w:color w:val="auto"/>
          <w:sz w:val="32"/>
          <w:szCs w:val="32"/>
          <w:highlight w:val="none"/>
          <w:lang w:val="en-US" w:eastAsia="zh-CN"/>
        </w:rPr>
        <w:t>竞争性磋商采购</w:t>
      </w:r>
      <w:r>
        <w:rPr>
          <w:rFonts w:hint="eastAsia" w:ascii="宋体" w:hAnsi="宋体" w:eastAsia="宋体" w:cs="宋体"/>
          <w:b/>
          <w:color w:val="auto"/>
          <w:sz w:val="32"/>
          <w:szCs w:val="32"/>
          <w:highlight w:val="none"/>
        </w:rPr>
        <w:t>公告</w:t>
      </w:r>
      <w:bookmarkEnd w:id="2"/>
    </w:p>
    <w:p w14:paraId="001E219C">
      <w:pPr>
        <w:keepNext w:val="0"/>
        <w:keepLines w:val="0"/>
        <w:pageBreakBefore w:val="0"/>
        <w:widowControl w:val="0"/>
        <w:kinsoku/>
        <w:wordWrap/>
        <w:overflowPunct/>
        <w:topLinePunct w:val="0"/>
        <w:autoSpaceDE/>
        <w:autoSpaceDN/>
        <w:bidi w:val="0"/>
        <w:adjustRightInd w:val="0"/>
        <w:snapToGrid w:val="0"/>
        <w:spacing w:afterAutospacing="0" w:line="324" w:lineRule="auto"/>
        <w:jc w:val="center"/>
        <w:textAlignment w:val="auto"/>
        <w:rPr>
          <w:rFonts w:hint="eastAsia" w:ascii="宋体" w:hAnsi="宋体" w:eastAsia="宋体" w:cs="宋体"/>
          <w:b/>
          <w:bCs w:val="0"/>
          <w:color w:val="auto"/>
          <w:kern w:val="0"/>
          <w:sz w:val="28"/>
          <w:szCs w:val="28"/>
          <w:highlight w:val="none"/>
          <w:u w:val="none"/>
          <w:lang w:val="en-US" w:eastAsia="zh-CN"/>
        </w:rPr>
      </w:pPr>
      <w:r>
        <w:rPr>
          <w:rFonts w:hint="eastAsia" w:ascii="宋体" w:hAnsi="宋体" w:cs="宋体"/>
          <w:b/>
          <w:bCs w:val="0"/>
          <w:color w:val="auto"/>
          <w:kern w:val="0"/>
          <w:sz w:val="28"/>
          <w:szCs w:val="28"/>
          <w:highlight w:val="none"/>
          <w:u w:val="none"/>
          <w:lang w:val="en-US" w:eastAsia="zh-CN"/>
        </w:rPr>
        <w:t>驻马店市中心医院3号楼应急照明系统电池、应急照明灯具采购安装项目</w:t>
      </w:r>
    </w:p>
    <w:p w14:paraId="6C730A6D">
      <w:pPr>
        <w:keepNext w:val="0"/>
        <w:keepLines w:val="0"/>
        <w:pageBreakBefore w:val="0"/>
        <w:widowControl w:val="0"/>
        <w:kinsoku/>
        <w:wordWrap/>
        <w:overflowPunct/>
        <w:topLinePunct w:val="0"/>
        <w:autoSpaceDE/>
        <w:autoSpaceDN/>
        <w:bidi w:val="0"/>
        <w:adjustRightInd w:val="0"/>
        <w:snapToGrid w:val="0"/>
        <w:spacing w:afterAutospacing="0" w:line="324" w:lineRule="auto"/>
        <w:jc w:val="center"/>
        <w:textAlignment w:val="auto"/>
        <w:rPr>
          <w:rFonts w:hint="eastAsia" w:ascii="宋体" w:hAnsi="宋体" w:eastAsia="宋体" w:cs="宋体"/>
          <w:b/>
          <w:bCs w:val="0"/>
          <w:color w:val="auto"/>
          <w:kern w:val="0"/>
          <w:sz w:val="28"/>
          <w:szCs w:val="28"/>
          <w:highlight w:val="none"/>
        </w:rPr>
      </w:pPr>
      <w:r>
        <w:rPr>
          <w:rFonts w:hint="eastAsia" w:ascii="宋体" w:hAnsi="宋体" w:eastAsia="宋体" w:cs="宋体"/>
          <w:b/>
          <w:bCs w:val="0"/>
          <w:color w:val="auto"/>
          <w:kern w:val="0"/>
          <w:sz w:val="28"/>
          <w:szCs w:val="28"/>
          <w:highlight w:val="none"/>
          <w:u w:val="none"/>
          <w:lang w:val="en-US" w:eastAsia="zh-CN"/>
        </w:rPr>
        <w:t>竞争性磋商</w:t>
      </w:r>
      <w:r>
        <w:rPr>
          <w:rFonts w:hint="eastAsia" w:ascii="宋体" w:hAnsi="宋体" w:eastAsia="宋体" w:cs="宋体"/>
          <w:b/>
          <w:bCs w:val="0"/>
          <w:color w:val="auto"/>
          <w:kern w:val="0"/>
          <w:sz w:val="28"/>
          <w:szCs w:val="28"/>
          <w:highlight w:val="none"/>
        </w:rPr>
        <w:t>公告</w:t>
      </w:r>
    </w:p>
    <w:p w14:paraId="0FE28867">
      <w:pPr>
        <w:keepNext w:val="0"/>
        <w:keepLines w:val="0"/>
        <w:pageBreakBefore w:val="0"/>
        <w:widowControl w:val="0"/>
        <w:kinsoku/>
        <w:overflowPunct/>
        <w:topLinePunct w:val="0"/>
        <w:autoSpaceDE/>
        <w:autoSpaceDN/>
        <w:bidi w:val="0"/>
        <w:snapToGrid w:val="0"/>
        <w:spacing w:line="324"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highlight w:val="none"/>
        </w:rPr>
        <w:t>驻马店市中心医院现对</w:t>
      </w:r>
      <w:r>
        <w:rPr>
          <w:rFonts w:hint="eastAsia" w:ascii="宋体" w:hAnsi="宋体" w:eastAsia="宋体" w:cs="宋体"/>
          <w:color w:val="auto"/>
          <w:highlight w:val="none"/>
          <w:u w:val="single"/>
          <w:lang w:val="en-US" w:eastAsia="zh-CN"/>
        </w:rPr>
        <w:t>3号楼应急照明系统电池、应急照明灯具采购安装项目</w:t>
      </w:r>
      <w:r>
        <w:rPr>
          <w:rFonts w:hint="eastAsia" w:ascii="宋体" w:hAnsi="宋体" w:eastAsia="宋体" w:cs="宋体"/>
          <w:color w:val="auto"/>
          <w:highlight w:val="none"/>
        </w:rPr>
        <w:t>进行院内</w:t>
      </w:r>
      <w:r>
        <w:rPr>
          <w:rFonts w:hint="eastAsia" w:ascii="宋体" w:hAnsi="宋体" w:eastAsia="宋体" w:cs="宋体"/>
          <w:color w:val="auto"/>
          <w:highlight w:val="none"/>
          <w:lang w:val="en-US" w:eastAsia="zh-CN"/>
        </w:rPr>
        <w:t>竞争性磋商</w:t>
      </w:r>
      <w:r>
        <w:rPr>
          <w:rFonts w:hint="eastAsia" w:ascii="宋体" w:hAnsi="宋体" w:eastAsia="宋体" w:cs="宋体"/>
          <w:color w:val="auto"/>
          <w:highlight w:val="none"/>
        </w:rPr>
        <w:t>采购，欢迎符合资格条件的供应商前来</w:t>
      </w:r>
      <w:r>
        <w:rPr>
          <w:rFonts w:hint="eastAsia" w:ascii="宋体" w:hAnsi="宋体" w:eastAsia="宋体" w:cs="宋体"/>
          <w:color w:val="auto"/>
          <w:highlight w:val="none"/>
          <w:lang w:val="en-US" w:eastAsia="zh-CN"/>
        </w:rPr>
        <w:t>报名并</w:t>
      </w:r>
      <w:r>
        <w:rPr>
          <w:rFonts w:hint="eastAsia" w:ascii="宋体" w:hAnsi="宋体" w:eastAsia="宋体" w:cs="宋体"/>
          <w:color w:val="auto"/>
          <w:szCs w:val="21"/>
          <w:highlight w:val="none"/>
        </w:rPr>
        <w:t>获取</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w:t>
      </w:r>
    </w:p>
    <w:p w14:paraId="1CE5C737">
      <w:pPr>
        <w:keepNext w:val="0"/>
        <w:keepLines w:val="0"/>
        <w:pageBreakBefore w:val="0"/>
        <w:widowControl w:val="0"/>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1"/>
          <w:highlight w:val="none"/>
          <w:shd w:val="clear" w:color="auto" w:fill="FFFFFF"/>
          <w:lang w:val="en-US" w:eastAsia="zh-CN" w:bidi="ar-SA"/>
        </w:rPr>
      </w:pPr>
      <w:r>
        <w:rPr>
          <w:rFonts w:hint="eastAsia" w:ascii="宋体" w:hAnsi="宋体" w:eastAsia="宋体" w:cs="宋体"/>
          <w:b/>
          <w:bCs/>
          <w:color w:val="auto"/>
          <w:kern w:val="2"/>
          <w:sz w:val="21"/>
          <w:szCs w:val="21"/>
          <w:highlight w:val="none"/>
          <w:shd w:val="clear" w:color="auto" w:fill="FFFFFF"/>
          <w:lang w:val="en-US" w:eastAsia="zh-CN" w:bidi="ar-SA"/>
        </w:rPr>
        <w:t>一、项目基本情况</w:t>
      </w:r>
    </w:p>
    <w:p w14:paraId="440F3ACB">
      <w:pPr>
        <w:keepNext w:val="0"/>
        <w:keepLines w:val="0"/>
        <w:pageBreakBefore w:val="0"/>
        <w:widowControl w:val="0"/>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val="en-US" w:eastAsia="zh-CN"/>
        </w:rPr>
        <w:t>驻马店市中心医院3号楼应急照明系统电池、应急照明灯具采购安装项目</w:t>
      </w:r>
      <w:r>
        <w:rPr>
          <w:rFonts w:hint="eastAsia" w:ascii="宋体" w:hAnsi="宋体" w:eastAsia="宋体" w:cs="宋体"/>
          <w:color w:val="auto"/>
          <w:szCs w:val="21"/>
          <w:highlight w:val="none"/>
          <w:shd w:val="clear" w:color="auto" w:fill="FFFFFF"/>
          <w:lang w:eastAsia="zh-CN"/>
        </w:rPr>
        <w:t>；</w:t>
      </w:r>
    </w:p>
    <w:p w14:paraId="642E45D6">
      <w:pPr>
        <w:keepNext w:val="0"/>
        <w:keepLines w:val="0"/>
        <w:pageBreakBefore w:val="0"/>
        <w:widowControl w:val="0"/>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14:paraId="4E6B5DBD">
      <w:pPr>
        <w:keepNext w:val="0"/>
        <w:keepLines w:val="0"/>
        <w:pageBreakBefore w:val="0"/>
        <w:widowControl w:val="0"/>
        <w:tabs>
          <w:tab w:val="left" w:pos="840"/>
        </w:tabs>
        <w:kinsoku/>
        <w:overflowPunct/>
        <w:topLinePunct w:val="0"/>
        <w:autoSpaceDE/>
        <w:autoSpaceDN/>
        <w:bidi w:val="0"/>
        <w:snapToGrid w:val="0"/>
        <w:spacing w:line="324" w:lineRule="auto"/>
        <w:ind w:firstLine="420" w:firstLineChars="200"/>
        <w:jc w:val="left"/>
        <w:textAlignment w:val="auto"/>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15万元</w:t>
      </w:r>
    </w:p>
    <w:p w14:paraId="0863F1CF">
      <w:pPr>
        <w:keepNext w:val="0"/>
        <w:keepLines w:val="0"/>
        <w:pageBreakBefore w:val="0"/>
        <w:widowControl w:val="0"/>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cs="宋体"/>
          <w:color w:val="auto"/>
          <w:szCs w:val="21"/>
          <w:highlight w:val="none"/>
          <w:shd w:val="clear" w:color="auto" w:fill="FFFFFF"/>
          <w:lang w:val="en-US" w:eastAsia="zh-CN"/>
        </w:rPr>
        <w:t>交货期</w:t>
      </w:r>
      <w:r>
        <w:rPr>
          <w:rFonts w:hint="eastAsia" w:ascii="宋体" w:hAnsi="宋体" w:eastAsia="宋体" w:cs="宋体"/>
          <w:color w:val="auto"/>
          <w:szCs w:val="21"/>
          <w:highlight w:val="none"/>
          <w:shd w:val="clear" w:color="auto" w:fill="FFFFFF"/>
          <w:lang w:val="en-US" w:eastAsia="zh-CN"/>
        </w:rPr>
        <w:t>：合同签订后5个日历日内到货，15个日历日内调试完毕。</w:t>
      </w:r>
    </w:p>
    <w:p w14:paraId="3A1F96FB">
      <w:pPr>
        <w:keepNext w:val="0"/>
        <w:keepLines w:val="0"/>
        <w:pageBreakBefore w:val="0"/>
        <w:widowControl w:val="0"/>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、质量要求：</w:t>
      </w:r>
      <w:r>
        <w:rPr>
          <w:rFonts w:hint="eastAsia" w:ascii="宋体" w:hAnsi="宋体" w:eastAsia="宋体" w:cs="宋体"/>
          <w:color w:val="auto"/>
          <w:szCs w:val="21"/>
          <w:highlight w:val="none"/>
          <w:shd w:val="clear" w:color="auto" w:fill="FFFFFF"/>
          <w:lang w:val="en-US" w:eastAsia="zh-CN"/>
        </w:rPr>
        <w:t>符合国家有关法律法规及行业标准要求</w:t>
      </w:r>
      <w:r>
        <w:rPr>
          <w:rFonts w:hint="eastAsia" w:ascii="宋体" w:hAnsi="宋体" w:cs="宋体"/>
          <w:color w:val="auto"/>
          <w:szCs w:val="21"/>
          <w:highlight w:val="none"/>
          <w:shd w:val="clear" w:color="auto" w:fill="FFFFFF"/>
          <w:lang w:val="en-US" w:eastAsia="zh-CN"/>
        </w:rPr>
        <w:t>，及采购人要求</w:t>
      </w:r>
      <w:r>
        <w:rPr>
          <w:rFonts w:hint="eastAsia" w:ascii="宋体" w:hAnsi="宋体" w:eastAsia="宋体" w:cs="宋体"/>
          <w:color w:val="auto"/>
          <w:szCs w:val="21"/>
          <w:highlight w:val="none"/>
          <w:shd w:val="clear" w:color="auto" w:fill="FFFFFF"/>
          <w:lang w:val="en-US" w:eastAsia="zh-CN"/>
        </w:rPr>
        <w:t>。</w:t>
      </w:r>
    </w:p>
    <w:p w14:paraId="03CB2157">
      <w:pPr>
        <w:keepNext w:val="0"/>
        <w:keepLines w:val="0"/>
        <w:pageBreakBefore w:val="0"/>
        <w:widowControl w:val="0"/>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1"/>
          <w:highlight w:val="none"/>
          <w:shd w:val="clear" w:color="auto" w:fill="FFFFFF"/>
          <w:lang w:val="en-US" w:eastAsia="zh-CN" w:bidi="ar-SA"/>
        </w:rPr>
      </w:pPr>
      <w:bookmarkStart w:id="4" w:name="_Toc16639"/>
      <w:bookmarkStart w:id="5" w:name="_Toc23626"/>
      <w:bookmarkStart w:id="6" w:name="_Toc18607"/>
      <w:bookmarkStart w:id="7" w:name="_Toc27704"/>
      <w:r>
        <w:rPr>
          <w:rFonts w:hint="eastAsia" w:ascii="宋体" w:hAnsi="宋体" w:eastAsia="宋体" w:cs="宋体"/>
          <w:b/>
          <w:bCs/>
          <w:color w:val="auto"/>
          <w:kern w:val="2"/>
          <w:sz w:val="21"/>
          <w:szCs w:val="21"/>
          <w:highlight w:val="none"/>
          <w:shd w:val="clear" w:color="auto" w:fill="FFFFFF"/>
          <w:lang w:val="en-US" w:eastAsia="zh-CN" w:bidi="ar-SA"/>
        </w:rPr>
        <w:t>二、</w:t>
      </w:r>
      <w:bookmarkEnd w:id="3"/>
      <w:bookmarkEnd w:id="4"/>
      <w:bookmarkEnd w:id="5"/>
      <w:bookmarkEnd w:id="6"/>
      <w:bookmarkEnd w:id="7"/>
      <w:r>
        <w:rPr>
          <w:rFonts w:hint="eastAsia" w:ascii="宋体" w:hAnsi="宋体" w:eastAsia="宋体" w:cs="宋体"/>
          <w:b/>
          <w:bCs/>
          <w:color w:val="auto"/>
          <w:kern w:val="2"/>
          <w:sz w:val="21"/>
          <w:szCs w:val="21"/>
          <w:highlight w:val="none"/>
          <w:shd w:val="clear" w:color="auto" w:fill="FFFFFF"/>
          <w:lang w:val="en-US" w:eastAsia="zh-CN" w:bidi="ar-SA"/>
        </w:rPr>
        <w:t>供应商资格要求：</w:t>
      </w:r>
    </w:p>
    <w:p w14:paraId="021FB4C9">
      <w:pPr>
        <w:keepNext w:val="0"/>
        <w:keepLines w:val="0"/>
        <w:pageBreakBefore w:val="0"/>
        <w:widowControl w:val="0"/>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bookmarkStart w:id="8" w:name="_Toc7823"/>
      <w:bookmarkStart w:id="9" w:name="_Toc30971"/>
      <w:bookmarkStart w:id="10" w:name="_Toc9562"/>
      <w:bookmarkStart w:id="11" w:name="_Toc23395"/>
      <w:bookmarkStart w:id="12" w:name="_Toc30643"/>
      <w:r>
        <w:rPr>
          <w:rFonts w:hint="eastAsia" w:ascii="宋体" w:hAnsi="宋体" w:eastAsia="宋体" w:cs="宋体"/>
          <w:color w:val="auto"/>
          <w:szCs w:val="21"/>
          <w:highlight w:val="none"/>
          <w:shd w:val="clear" w:color="auto" w:fill="FFFFFF"/>
          <w:lang w:val="en-US" w:eastAsia="zh-CN"/>
        </w:rPr>
        <w:t>1、供应商应为注册在中华人民共和国境内的，且具有独立承担民事责任能力，提供营业执照或其他证明材料。</w:t>
      </w:r>
    </w:p>
    <w:p w14:paraId="2DC7632B">
      <w:pPr>
        <w:keepNext w:val="0"/>
        <w:keepLines w:val="0"/>
        <w:pageBreakBefore w:val="0"/>
        <w:widowControl w:val="0"/>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2、供应商应提供2023年</w:t>
      </w:r>
      <w:r>
        <w:rPr>
          <w:rFonts w:hint="eastAsia" w:ascii="宋体" w:hAnsi="宋体" w:cs="宋体"/>
          <w:color w:val="auto"/>
          <w:szCs w:val="21"/>
          <w:highlight w:val="none"/>
          <w:shd w:val="clear" w:color="auto" w:fill="FFFFFF"/>
          <w:lang w:val="en-US" w:eastAsia="zh-CN"/>
        </w:rPr>
        <w:t>或2024年</w:t>
      </w:r>
      <w:r>
        <w:rPr>
          <w:rFonts w:hint="eastAsia" w:ascii="宋体" w:hAnsi="宋体" w:eastAsia="宋体" w:cs="宋体"/>
          <w:color w:val="auto"/>
          <w:szCs w:val="21"/>
          <w:highlight w:val="none"/>
          <w:shd w:val="clear" w:color="auto" w:fill="FFFFFF"/>
          <w:lang w:val="en-US" w:eastAsia="zh-CN"/>
        </w:rPr>
        <w:t>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2AFD340F">
      <w:pPr>
        <w:keepNext w:val="0"/>
        <w:keepLines w:val="0"/>
        <w:pageBreakBefore w:val="0"/>
        <w:widowControl w:val="0"/>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3、具有履行合同所必需的设备和专业技术能力（提供书面声明函）；</w:t>
      </w:r>
    </w:p>
    <w:p w14:paraId="211E62A8">
      <w:pPr>
        <w:keepNext w:val="0"/>
        <w:keepLines w:val="0"/>
        <w:pageBreakBefore w:val="0"/>
        <w:widowControl w:val="0"/>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4、参加本采购活动前三年内，在经营活动中没有重大违法记录（提供书面声明函）；</w:t>
      </w:r>
    </w:p>
    <w:p w14:paraId="51935FFD">
      <w:pPr>
        <w:keepNext w:val="0"/>
        <w:keepLines w:val="0"/>
        <w:pageBreakBefore w:val="0"/>
        <w:widowControl w:val="0"/>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5、符合法律、行政法规规定的其他条件；</w:t>
      </w:r>
    </w:p>
    <w:p w14:paraId="095B0FCF">
      <w:pPr>
        <w:keepNext w:val="0"/>
        <w:keepLines w:val="0"/>
        <w:pageBreakBefore w:val="0"/>
        <w:widowControl w:val="0"/>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6、特定资格要求：</w:t>
      </w:r>
    </w:p>
    <w:p w14:paraId="3201CA78">
      <w:pPr>
        <w:keepNext w:val="0"/>
        <w:keepLines w:val="0"/>
        <w:pageBreakBefore w:val="0"/>
        <w:widowControl w:val="0"/>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6.1供应商应具备消防设施工程专业承包二级或二级以上企业资质，应具备安全生产许可证。</w:t>
      </w:r>
    </w:p>
    <w:p w14:paraId="6FAFF83F">
      <w:pPr>
        <w:keepNext w:val="0"/>
        <w:keepLines w:val="0"/>
        <w:pageBreakBefore w:val="0"/>
        <w:widowControl w:val="0"/>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6.2拟派项目经理为机电专业二级或二级以上建造师，具备有效的安全生产考核合格证书，并与公司具有劳动合同关系，参加了社会保险(提供近三个月</w:t>
      </w:r>
      <w:r>
        <w:rPr>
          <w:rFonts w:hint="eastAsia" w:ascii="宋体" w:hAnsi="宋体" w:cs="宋体"/>
          <w:color w:val="auto"/>
          <w:szCs w:val="21"/>
          <w:highlight w:val="none"/>
          <w:shd w:val="clear" w:color="auto" w:fill="FFFFFF"/>
          <w:lang w:val="en-US" w:eastAsia="zh-CN"/>
        </w:rPr>
        <w:t>或上季度任一个月</w:t>
      </w:r>
      <w:r>
        <w:rPr>
          <w:rFonts w:hint="eastAsia" w:ascii="宋体" w:hAnsi="宋体" w:eastAsia="宋体" w:cs="宋体"/>
          <w:color w:val="auto"/>
          <w:szCs w:val="21"/>
          <w:highlight w:val="none"/>
          <w:shd w:val="clear" w:color="auto" w:fill="FFFFFF"/>
          <w:lang w:val="en-US" w:eastAsia="zh-CN"/>
        </w:rPr>
        <w:t>的</w:t>
      </w:r>
      <w:r>
        <w:rPr>
          <w:rFonts w:hint="eastAsia" w:ascii="宋体" w:hAnsi="宋体" w:cs="宋体"/>
          <w:color w:val="auto"/>
          <w:szCs w:val="21"/>
          <w:highlight w:val="none"/>
          <w:shd w:val="clear" w:color="auto" w:fill="FFFFFF"/>
          <w:lang w:val="en-US" w:eastAsia="zh-CN"/>
        </w:rPr>
        <w:t>社保</w:t>
      </w:r>
      <w:r>
        <w:rPr>
          <w:rFonts w:hint="eastAsia" w:ascii="宋体" w:hAnsi="宋体" w:eastAsia="宋体" w:cs="宋体"/>
          <w:color w:val="auto"/>
          <w:szCs w:val="21"/>
          <w:highlight w:val="none"/>
          <w:shd w:val="clear" w:color="auto" w:fill="FFFFFF"/>
          <w:lang w:val="en-US" w:eastAsia="zh-CN"/>
        </w:rPr>
        <w:t>证明)。</w:t>
      </w:r>
    </w:p>
    <w:p w14:paraId="6BE761B5">
      <w:pPr>
        <w:keepNext w:val="0"/>
        <w:keepLines w:val="0"/>
        <w:pageBreakBefore w:val="0"/>
        <w:widowControl w:val="0"/>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7</w:t>
      </w:r>
      <w:r>
        <w:rPr>
          <w:rFonts w:hint="eastAsia" w:ascii="宋体" w:hAnsi="宋体" w:eastAsia="宋体" w:cs="宋体"/>
          <w:color w:val="auto"/>
          <w:szCs w:val="21"/>
          <w:highlight w:val="none"/>
          <w:shd w:val="clear" w:color="auto" w:fill="FFFFFF"/>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18945812">
      <w:pPr>
        <w:keepNext w:val="0"/>
        <w:keepLines w:val="0"/>
        <w:pageBreakBefore w:val="0"/>
        <w:widowControl w:val="0"/>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8</w:t>
      </w:r>
      <w:r>
        <w:rPr>
          <w:rFonts w:hint="eastAsia" w:ascii="宋体" w:hAnsi="宋体" w:eastAsia="宋体" w:cs="宋体"/>
          <w:color w:val="auto"/>
          <w:szCs w:val="21"/>
          <w:highlight w:val="none"/>
          <w:shd w:val="clear" w:color="auto" w:fill="FFFFFF"/>
          <w:lang w:val="en-US" w:eastAsia="zh-CN"/>
        </w:rPr>
        <w:t>、单位负责人为同一人或者存在直接控股、管理关系的不同供应商，不得参加同一合同项下的磋商（提供书面声明函）。一经发现，将导致投标同时被拒绝。</w:t>
      </w:r>
    </w:p>
    <w:p w14:paraId="4E7D1A7D">
      <w:pPr>
        <w:keepNext w:val="0"/>
        <w:keepLines w:val="0"/>
        <w:pageBreakBefore w:val="0"/>
        <w:widowControl w:val="0"/>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cs="宋体"/>
          <w:color w:val="auto"/>
          <w:szCs w:val="21"/>
          <w:highlight w:val="none"/>
          <w:shd w:val="clear" w:color="auto" w:fill="FFFFFF"/>
          <w:lang w:val="en-US" w:eastAsia="zh-CN"/>
        </w:rPr>
      </w:pPr>
      <w:r>
        <w:rPr>
          <w:rFonts w:hint="eastAsia" w:ascii="宋体" w:hAnsi="宋体" w:cs="宋体"/>
          <w:color w:val="auto"/>
          <w:szCs w:val="21"/>
          <w:highlight w:val="none"/>
          <w:shd w:val="clear" w:color="auto" w:fill="FFFFFF"/>
          <w:lang w:val="en-US" w:eastAsia="zh-CN"/>
        </w:rPr>
        <w:t>9</w:t>
      </w:r>
      <w:r>
        <w:rPr>
          <w:rFonts w:hint="eastAsia" w:ascii="宋体" w:hAnsi="宋体" w:eastAsia="宋体" w:cs="宋体"/>
          <w:color w:val="auto"/>
          <w:szCs w:val="21"/>
          <w:highlight w:val="none"/>
          <w:shd w:val="clear" w:color="auto" w:fill="FFFFFF"/>
          <w:lang w:val="en-US" w:eastAsia="zh-CN"/>
        </w:rPr>
        <w:t>、不接受联合体磋商。</w:t>
      </w:r>
      <w:r>
        <w:rPr>
          <w:rFonts w:hint="eastAsia" w:ascii="宋体" w:hAnsi="宋体" w:cs="宋体"/>
          <w:color w:val="auto"/>
          <w:szCs w:val="21"/>
          <w:highlight w:val="none"/>
          <w:shd w:val="clear" w:color="auto" w:fill="FFFFFF"/>
          <w:lang w:val="en-US" w:eastAsia="zh-CN"/>
        </w:rPr>
        <w:t xml:space="preserve">        </w:t>
      </w:r>
    </w:p>
    <w:p w14:paraId="784D075B">
      <w:pPr>
        <w:keepNext w:val="0"/>
        <w:keepLines w:val="0"/>
        <w:pageBreakBefore w:val="0"/>
        <w:widowControl w:val="0"/>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4"/>
          <w:highlight w:val="none"/>
          <w:lang w:val="en-US" w:eastAsia="zh-CN" w:bidi="ar-SA"/>
        </w:rPr>
      </w:pPr>
      <w:r>
        <w:rPr>
          <w:rFonts w:hint="eastAsia" w:ascii="宋体" w:hAnsi="宋体" w:eastAsia="宋体" w:cs="宋体"/>
          <w:b/>
          <w:bCs/>
          <w:color w:val="auto"/>
          <w:kern w:val="2"/>
          <w:sz w:val="21"/>
          <w:szCs w:val="24"/>
          <w:highlight w:val="none"/>
          <w:lang w:val="en-US" w:eastAsia="zh-CN" w:bidi="ar-SA"/>
        </w:rPr>
        <w:t>三、获取采购文件</w:t>
      </w:r>
      <w:bookmarkEnd w:id="8"/>
      <w:bookmarkEnd w:id="9"/>
      <w:bookmarkEnd w:id="10"/>
      <w:bookmarkEnd w:id="11"/>
      <w:bookmarkEnd w:id="12"/>
    </w:p>
    <w:p w14:paraId="638A410B">
      <w:pPr>
        <w:keepNext w:val="0"/>
        <w:keepLines w:val="0"/>
        <w:pageBreakBefore w:val="0"/>
        <w:widowControl w:val="0"/>
        <w:kinsoku/>
        <w:overflowPunct/>
        <w:topLinePunct w:val="0"/>
        <w:autoSpaceDE/>
        <w:autoSpaceDN/>
        <w:bidi w:val="0"/>
        <w:adjustRightInd w:val="0"/>
        <w:snapToGrid w:val="0"/>
        <w:spacing w:line="324" w:lineRule="auto"/>
        <w:ind w:firstLine="420" w:firstLineChars="200"/>
        <w:jc w:val="left"/>
        <w:textAlignment w:val="auto"/>
        <w:rPr>
          <w:rFonts w:hint="eastAsia" w:ascii="宋体" w:hAnsi="宋体" w:eastAsia="宋体" w:cs="宋体"/>
          <w:color w:val="auto"/>
          <w:szCs w:val="21"/>
          <w:highlight w:val="none"/>
          <w:shd w:val="clear" w:color="auto" w:fill="FFFFFF"/>
          <w:lang w:val="en-US"/>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 报名</w:t>
      </w:r>
      <w:r>
        <w:rPr>
          <w:rFonts w:hint="eastAsia" w:ascii="宋体" w:hAnsi="宋体" w:eastAsia="宋体" w:cs="宋体"/>
          <w:color w:val="auto"/>
          <w:szCs w:val="21"/>
          <w:highlight w:val="none"/>
          <w:shd w:val="clear" w:color="auto" w:fill="FFFFFF"/>
        </w:rPr>
        <w:t>时间：202</w:t>
      </w:r>
      <w:r>
        <w:rPr>
          <w:rFonts w:hint="eastAsia" w:ascii="宋体" w:hAnsi="宋体" w:eastAsia="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年</w:t>
      </w:r>
      <w:r>
        <w:rPr>
          <w:rFonts w:hint="eastAsia" w:ascii="宋体" w:hAnsi="宋体" w:cs="宋体"/>
          <w:color w:val="auto"/>
          <w:szCs w:val="21"/>
          <w:highlight w:val="none"/>
          <w:shd w:val="clear" w:color="auto" w:fill="FFFFFF"/>
          <w:lang w:val="en-US" w:eastAsia="zh-CN"/>
        </w:rPr>
        <w:t>06</w:t>
      </w:r>
      <w:r>
        <w:rPr>
          <w:rFonts w:hint="eastAsia" w:ascii="宋体" w:hAnsi="宋体" w:eastAsia="宋体" w:cs="宋体"/>
          <w:color w:val="auto"/>
          <w:szCs w:val="21"/>
          <w:highlight w:val="none"/>
          <w:shd w:val="clear" w:color="auto" w:fill="FFFFFF"/>
        </w:rPr>
        <w:t>月</w:t>
      </w:r>
      <w:r>
        <w:rPr>
          <w:rFonts w:hint="eastAsia" w:ascii="宋体" w:hAnsi="宋体" w:cs="宋体"/>
          <w:color w:val="auto"/>
          <w:szCs w:val="21"/>
          <w:highlight w:val="none"/>
          <w:shd w:val="clear" w:color="auto" w:fill="FFFFFF"/>
          <w:lang w:val="en-US" w:eastAsia="zh-CN"/>
        </w:rPr>
        <w:t>09</w:t>
      </w:r>
      <w:r>
        <w:rPr>
          <w:rFonts w:hint="eastAsia" w:ascii="宋体" w:hAnsi="宋体" w:eastAsia="宋体" w:cs="宋体"/>
          <w:color w:val="auto"/>
          <w:szCs w:val="21"/>
          <w:highlight w:val="none"/>
          <w:shd w:val="clear" w:color="auto" w:fill="FFFFFF"/>
        </w:rPr>
        <w:t>日-202</w:t>
      </w:r>
      <w:r>
        <w:rPr>
          <w:rFonts w:hint="eastAsia" w:ascii="宋体" w:hAnsi="宋体" w:eastAsia="宋体" w:cs="宋体"/>
          <w:color w:val="auto"/>
          <w:szCs w:val="21"/>
          <w:highlight w:val="none"/>
          <w:shd w:val="clear" w:color="auto" w:fill="FFFFFF"/>
          <w:lang w:val="en-US" w:eastAsia="zh-CN"/>
        </w:rPr>
        <w:t>5</w:t>
      </w:r>
      <w:r>
        <w:rPr>
          <w:rFonts w:hint="eastAsia" w:ascii="宋体" w:hAnsi="宋体" w:eastAsia="宋体" w:cs="宋体"/>
          <w:color w:val="auto"/>
          <w:szCs w:val="21"/>
          <w:highlight w:val="none"/>
          <w:shd w:val="clear" w:color="auto" w:fill="FFFFFF"/>
        </w:rPr>
        <w:t>年</w:t>
      </w:r>
      <w:r>
        <w:rPr>
          <w:rFonts w:hint="eastAsia" w:ascii="宋体" w:hAnsi="宋体" w:cs="宋体"/>
          <w:color w:val="auto"/>
          <w:szCs w:val="21"/>
          <w:highlight w:val="none"/>
          <w:shd w:val="clear" w:color="auto" w:fill="FFFFFF"/>
          <w:lang w:val="en-US" w:eastAsia="zh-CN"/>
        </w:rPr>
        <w:t>06</w:t>
      </w:r>
      <w:r>
        <w:rPr>
          <w:rFonts w:hint="eastAsia" w:ascii="宋体" w:hAnsi="宋体" w:eastAsia="宋体" w:cs="宋体"/>
          <w:color w:val="auto"/>
          <w:szCs w:val="21"/>
          <w:highlight w:val="none"/>
          <w:shd w:val="clear" w:color="auto" w:fill="FFFFFF"/>
        </w:rPr>
        <w:t>月</w:t>
      </w:r>
      <w:r>
        <w:rPr>
          <w:rFonts w:hint="eastAsia" w:ascii="宋体" w:hAnsi="宋体" w:cs="宋体"/>
          <w:color w:val="auto"/>
          <w:szCs w:val="21"/>
          <w:highlight w:val="none"/>
          <w:shd w:val="clear" w:color="auto" w:fill="FFFFFF"/>
          <w:lang w:val="en-US" w:eastAsia="zh-CN"/>
        </w:rPr>
        <w:t>11</w:t>
      </w:r>
      <w:r>
        <w:rPr>
          <w:rFonts w:hint="eastAsia" w:ascii="宋体" w:hAnsi="宋体" w:eastAsia="宋体" w:cs="宋体"/>
          <w:color w:val="auto"/>
          <w:szCs w:val="21"/>
          <w:highlight w:val="none"/>
          <w:shd w:val="clear" w:color="auto" w:fill="FFFFFF"/>
        </w:rPr>
        <w:t>日，上午</w:t>
      </w:r>
      <w:r>
        <w:rPr>
          <w:rFonts w:hint="eastAsia" w:ascii="宋体" w:hAnsi="宋体" w:eastAsia="宋体" w:cs="宋体"/>
          <w:color w:val="auto"/>
          <w:szCs w:val="21"/>
          <w:highlight w:val="none"/>
          <w:shd w:val="clear" w:color="auto" w:fill="FFFFFF"/>
          <w:lang w:val="en-US" w:eastAsia="zh-CN"/>
        </w:rPr>
        <w:t>0</w:t>
      </w:r>
      <w:r>
        <w:rPr>
          <w:rFonts w:hint="eastAsia" w:ascii="宋体" w:hAnsi="宋体" w:eastAsia="宋体" w:cs="宋体"/>
          <w:color w:val="auto"/>
          <w:szCs w:val="21"/>
          <w:highlight w:val="none"/>
          <w:shd w:val="clear" w:color="auto" w:fill="FFFFFF"/>
        </w:rPr>
        <w:t>8：</w:t>
      </w:r>
      <w:r>
        <w:rPr>
          <w:rFonts w:hint="eastAsia" w:ascii="宋体" w:hAnsi="宋体" w:cs="宋体"/>
          <w:color w:val="auto"/>
          <w:szCs w:val="21"/>
          <w:highlight w:val="none"/>
          <w:shd w:val="clear" w:color="auto" w:fill="FFFFFF"/>
          <w:lang w:val="en-US" w:eastAsia="zh-CN"/>
        </w:rPr>
        <w:t>00</w:t>
      </w:r>
      <w:r>
        <w:rPr>
          <w:rFonts w:hint="eastAsia" w:ascii="宋体" w:hAnsi="宋体" w:eastAsia="宋体" w:cs="宋体"/>
          <w:color w:val="auto"/>
          <w:szCs w:val="21"/>
          <w:highlight w:val="none"/>
          <w:shd w:val="clear" w:color="auto" w:fill="FFFFFF"/>
        </w:rPr>
        <w:t>-</w:t>
      </w:r>
      <w:r>
        <w:rPr>
          <w:rFonts w:hint="eastAsia" w:ascii="宋体" w:hAnsi="宋体" w:cs="宋体"/>
          <w:color w:val="auto"/>
          <w:szCs w:val="21"/>
          <w:highlight w:val="none"/>
          <w:shd w:val="clear" w:color="auto" w:fill="FFFFFF"/>
          <w:lang w:val="en-US" w:eastAsia="zh-CN"/>
        </w:rPr>
        <w:t>12</w:t>
      </w:r>
      <w:r>
        <w:rPr>
          <w:rFonts w:hint="eastAsia" w:ascii="宋体" w:hAnsi="宋体" w:eastAsia="宋体" w:cs="宋体"/>
          <w:color w:val="auto"/>
          <w:szCs w:val="21"/>
          <w:highlight w:val="none"/>
          <w:shd w:val="clear" w:color="auto" w:fill="FFFFFF"/>
        </w:rPr>
        <w:t>:</w:t>
      </w:r>
      <w:r>
        <w:rPr>
          <w:rFonts w:hint="eastAsia" w:ascii="宋体" w:hAnsi="宋体" w:cs="宋体"/>
          <w:color w:val="auto"/>
          <w:szCs w:val="21"/>
          <w:highlight w:val="none"/>
          <w:shd w:val="clear" w:color="auto" w:fill="FFFFFF"/>
          <w:lang w:val="en-US" w:eastAsia="zh-CN"/>
        </w:rPr>
        <w:t>0</w:t>
      </w:r>
      <w:r>
        <w:rPr>
          <w:rFonts w:hint="eastAsia" w:ascii="宋体" w:hAnsi="宋体" w:eastAsia="宋体" w:cs="宋体"/>
          <w:color w:val="auto"/>
          <w:szCs w:val="21"/>
          <w:highlight w:val="none"/>
          <w:shd w:val="clear" w:color="auto" w:fill="FFFFFF"/>
        </w:rPr>
        <w:t>0，下午</w:t>
      </w:r>
      <w:r>
        <w:rPr>
          <w:rFonts w:hint="eastAsia" w:ascii="宋体" w:hAnsi="宋体" w:cs="宋体"/>
          <w:color w:val="auto"/>
          <w:szCs w:val="21"/>
          <w:highlight w:val="none"/>
          <w:shd w:val="clear" w:color="auto" w:fill="FFFFFF"/>
          <w:lang w:val="en-US" w:eastAsia="zh-CN"/>
        </w:rPr>
        <w:t>15</w:t>
      </w:r>
      <w:r>
        <w:rPr>
          <w:rFonts w:hint="eastAsia" w:ascii="宋体" w:hAnsi="宋体" w:eastAsia="宋体" w:cs="宋体"/>
          <w:color w:val="auto"/>
          <w:szCs w:val="21"/>
          <w:highlight w:val="none"/>
          <w:shd w:val="clear" w:color="auto" w:fill="FFFFFF"/>
        </w:rPr>
        <w:t>:</w:t>
      </w:r>
      <w:r>
        <w:rPr>
          <w:rFonts w:hint="eastAsia" w:ascii="宋体" w:hAnsi="宋体" w:cs="宋体"/>
          <w:color w:val="auto"/>
          <w:szCs w:val="21"/>
          <w:highlight w:val="none"/>
          <w:shd w:val="clear" w:color="auto" w:fill="FFFFFF"/>
          <w:lang w:val="en-US" w:eastAsia="zh-CN"/>
        </w:rPr>
        <w:t>0</w:t>
      </w:r>
      <w:r>
        <w:rPr>
          <w:rFonts w:hint="eastAsia" w:ascii="宋体" w:hAnsi="宋体" w:eastAsia="宋体" w:cs="宋体"/>
          <w:color w:val="auto"/>
          <w:szCs w:val="21"/>
          <w:highlight w:val="none"/>
          <w:shd w:val="clear" w:color="auto" w:fill="FFFFFF"/>
        </w:rPr>
        <w:t>0-</w:t>
      </w:r>
      <w:r>
        <w:rPr>
          <w:rFonts w:hint="eastAsia" w:ascii="宋体" w:hAnsi="宋体" w:cs="宋体"/>
          <w:color w:val="auto"/>
          <w:szCs w:val="21"/>
          <w:highlight w:val="none"/>
          <w:shd w:val="clear" w:color="auto" w:fill="FFFFFF"/>
          <w:lang w:val="en-US" w:eastAsia="zh-CN"/>
        </w:rPr>
        <w:t>18</w:t>
      </w:r>
      <w:r>
        <w:rPr>
          <w:rFonts w:hint="eastAsia" w:ascii="宋体" w:hAnsi="宋体" w:eastAsia="宋体" w:cs="宋体"/>
          <w:color w:val="auto"/>
          <w:szCs w:val="21"/>
          <w:highlight w:val="none"/>
          <w:shd w:val="clear" w:color="auto" w:fill="FFFFFF"/>
        </w:rPr>
        <w:t>:</w:t>
      </w:r>
      <w:r>
        <w:rPr>
          <w:rFonts w:hint="eastAsia" w:ascii="宋体" w:hAnsi="宋体" w:cs="宋体"/>
          <w:color w:val="auto"/>
          <w:szCs w:val="21"/>
          <w:highlight w:val="none"/>
          <w:shd w:val="clear" w:color="auto" w:fill="FFFFFF"/>
          <w:lang w:val="en-US" w:eastAsia="zh-CN"/>
        </w:rPr>
        <w:t>00</w:t>
      </w:r>
      <w:r>
        <w:rPr>
          <w:rFonts w:hint="eastAsia" w:ascii="宋体" w:hAnsi="宋体" w:eastAsia="宋体" w:cs="宋体"/>
          <w:color w:val="auto"/>
          <w:szCs w:val="21"/>
          <w:highlight w:val="none"/>
          <w:shd w:val="clear" w:color="auto" w:fill="FFFFFF"/>
        </w:rPr>
        <w:t>（北京时间，法定节假日除外）</w:t>
      </w:r>
      <w:r>
        <w:rPr>
          <w:rFonts w:hint="eastAsia" w:ascii="宋体" w:hAnsi="宋体" w:eastAsia="宋体" w:cs="宋体"/>
          <w:color w:val="auto"/>
          <w:szCs w:val="21"/>
          <w:highlight w:val="none"/>
          <w:shd w:val="clear" w:color="auto" w:fill="FFFFFF"/>
          <w:lang w:val="en-US" w:eastAsia="zh-CN"/>
        </w:rPr>
        <w:t>。</w:t>
      </w:r>
    </w:p>
    <w:p w14:paraId="035BF3FE">
      <w:pPr>
        <w:keepNext w:val="0"/>
        <w:keepLines w:val="0"/>
        <w:pageBreakBefore w:val="0"/>
        <w:widowControl w:val="0"/>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 xml:space="preserve">2. 凡报名成功的供应商无故不来参与投标的，列入我院黑名单，一年内不得参与我院任何采购活动。成交供应商缴纳相应服务费。 </w:t>
      </w:r>
    </w:p>
    <w:p w14:paraId="381837FA">
      <w:pPr>
        <w:keepNext w:val="0"/>
        <w:keepLines w:val="0"/>
        <w:pageBreakBefore w:val="0"/>
        <w:widowControl w:val="0"/>
        <w:kinsoku/>
        <w:wordWrap w:val="0"/>
        <w:overflowPunct/>
        <w:topLinePunct w:val="0"/>
        <w:autoSpaceDE/>
        <w:autoSpaceDN/>
        <w:bidi w:val="0"/>
        <w:snapToGrid w:val="0"/>
        <w:spacing w:before="0" w:beforeAutospacing="0" w:after="0" w:afterAutospacing="0" w:line="324" w:lineRule="auto"/>
        <w:ind w:left="0" w:leftChars="0" w:firstLine="420" w:firstLineChars="200"/>
        <w:jc w:val="left"/>
        <w:textAlignment w:val="auto"/>
        <w:rPr>
          <w:rFonts w:hint="eastAsia" w:ascii="宋体" w:hAnsi="宋体" w:eastAsia="宋体" w:cs="宋体"/>
          <w:color w:val="auto"/>
          <w:kern w:val="0"/>
          <w:sz w:val="21"/>
          <w:szCs w:val="21"/>
          <w:highlight w:val="none"/>
          <w:u w:val="singl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3. 采购文件获取方式：供应商须把填写完整的报名登记表及本磋商公告第二项供应商资格要求中需提供加盖单位公章的相关资料扫描件按序排版为PDF格式文件，发送至以下邮箱：</w:t>
      </w:r>
      <w:r>
        <w:rPr>
          <w:rFonts w:hint="eastAsia" w:ascii="宋体" w:hAnsi="宋体" w:eastAsia="宋体" w:cs="宋体"/>
          <w:color w:val="auto"/>
          <w:kern w:val="0"/>
          <w:sz w:val="21"/>
          <w:szCs w:val="21"/>
          <w:highlight w:val="none"/>
          <w:shd w:val="clear" w:color="auto" w:fill="FFFFFF"/>
          <w:lang w:val="en-US" w:eastAsia="zh-CN" w:bidi="ar-SA"/>
        </w:rPr>
        <w:fldChar w:fldCharType="begin"/>
      </w:r>
      <w:r>
        <w:rPr>
          <w:rFonts w:hint="eastAsia" w:ascii="宋体" w:hAnsi="宋体" w:eastAsia="宋体" w:cs="宋体"/>
          <w:color w:val="auto"/>
          <w:kern w:val="0"/>
          <w:sz w:val="21"/>
          <w:szCs w:val="21"/>
          <w:highlight w:val="none"/>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highlight w:val="none"/>
          <w:shd w:val="clear" w:color="auto" w:fill="FFFFFF"/>
          <w:lang w:val="en-US" w:eastAsia="zh-CN" w:bidi="ar-SA"/>
        </w:rPr>
        <w:fldChar w:fldCharType="separate"/>
      </w:r>
      <w:r>
        <w:rPr>
          <w:rFonts w:hint="eastAsia" w:ascii="宋体" w:hAnsi="宋体" w:eastAsia="宋体" w:cs="宋体"/>
          <w:color w:val="auto"/>
          <w:kern w:val="0"/>
          <w:sz w:val="21"/>
          <w:szCs w:val="21"/>
          <w:highlight w:val="none"/>
          <w:shd w:val="clear" w:color="auto" w:fill="FFFFFF"/>
          <w:lang w:val="en-US" w:eastAsia="zh-CN" w:bidi="ar-SA"/>
        </w:rPr>
        <w:t>3513508329@qq.com,并标明XX公司XX</w:t>
      </w:r>
      <w:r>
        <w:rPr>
          <w:rFonts w:hint="eastAsia" w:ascii="宋体" w:hAnsi="宋体" w:eastAsia="宋体" w:cs="宋体"/>
          <w:color w:val="auto"/>
          <w:kern w:val="0"/>
          <w:sz w:val="21"/>
          <w:szCs w:val="21"/>
          <w:highlight w:val="none"/>
          <w:shd w:val="clear" w:color="auto" w:fill="FFFFFF"/>
          <w:lang w:val="en-US" w:eastAsia="zh-CN" w:bidi="ar-SA"/>
        </w:rPr>
        <w:fldChar w:fldCharType="end"/>
      </w:r>
      <w:r>
        <w:rPr>
          <w:rFonts w:hint="eastAsia" w:ascii="宋体" w:hAnsi="宋体" w:eastAsia="宋体" w:cs="宋体"/>
          <w:color w:val="auto"/>
          <w:kern w:val="0"/>
          <w:sz w:val="21"/>
          <w:szCs w:val="21"/>
          <w:highlight w:val="none"/>
          <w:shd w:val="clear" w:color="auto" w:fill="FFFFFF"/>
          <w:lang w:val="en-US" w:eastAsia="zh-CN" w:bidi="ar-SA"/>
        </w:rPr>
        <w:t>项目报名资料。</w:t>
      </w:r>
    </w:p>
    <w:p w14:paraId="2BF4F091">
      <w:pPr>
        <w:keepNext w:val="0"/>
        <w:keepLines w:val="0"/>
        <w:pageBreakBefore w:val="0"/>
        <w:widowControl w:val="0"/>
        <w:kinsoku/>
        <w:wordWrap w:val="0"/>
        <w:overflowPunct/>
        <w:topLinePunct w:val="0"/>
        <w:autoSpaceDE/>
        <w:autoSpaceDN/>
        <w:bidi w:val="0"/>
        <w:snapToGrid w:val="0"/>
        <w:spacing w:before="0" w:beforeAutospacing="0" w:after="0" w:afterAutospacing="0" w:line="324" w:lineRule="auto"/>
        <w:ind w:left="420" w:left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4. 报名登记表：请从附件中下载。</w:t>
      </w:r>
    </w:p>
    <w:p w14:paraId="2B7675CF">
      <w:pPr>
        <w:keepNext w:val="0"/>
        <w:keepLines w:val="0"/>
        <w:pageBreakBefore w:val="0"/>
        <w:widowControl w:val="0"/>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1"/>
          <w:highlight w:val="none"/>
          <w:lang w:val="en-US" w:eastAsia="zh-CN" w:bidi="ar-SA"/>
        </w:rPr>
      </w:pPr>
      <w:bookmarkStart w:id="13" w:name="_Toc15135"/>
      <w:bookmarkStart w:id="14" w:name="_Toc15111"/>
      <w:bookmarkStart w:id="15" w:name="_Toc10738"/>
      <w:bookmarkStart w:id="16" w:name="_Toc25869"/>
      <w:bookmarkStart w:id="17" w:name="_Toc27480"/>
      <w:r>
        <w:rPr>
          <w:rFonts w:hint="eastAsia" w:ascii="宋体" w:hAnsi="宋体" w:eastAsia="宋体" w:cs="宋体"/>
          <w:b/>
          <w:bCs/>
          <w:color w:val="auto"/>
          <w:kern w:val="2"/>
          <w:sz w:val="21"/>
          <w:szCs w:val="21"/>
          <w:highlight w:val="none"/>
          <w:shd w:val="clear" w:color="auto" w:fill="FFFFFF"/>
          <w:lang w:val="en-US" w:eastAsia="zh-CN" w:bidi="ar-SA"/>
        </w:rPr>
        <w:t>四、磋商截止时间及地点</w:t>
      </w:r>
      <w:bookmarkEnd w:id="13"/>
      <w:bookmarkEnd w:id="14"/>
      <w:bookmarkEnd w:id="15"/>
      <w:bookmarkEnd w:id="16"/>
      <w:bookmarkEnd w:id="17"/>
    </w:p>
    <w:p w14:paraId="7D796AB0">
      <w:pPr>
        <w:keepNext w:val="0"/>
        <w:keepLines w:val="0"/>
        <w:pageBreakBefore w:val="0"/>
        <w:widowControl w:val="0"/>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 时间：</w:t>
      </w:r>
      <w:r>
        <w:rPr>
          <w:rFonts w:hint="eastAsia" w:ascii="宋体" w:hAnsi="宋体" w:eastAsia="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3D8C4AFF">
      <w:pPr>
        <w:keepNext w:val="0"/>
        <w:keepLines w:val="0"/>
        <w:pageBreakBefore w:val="0"/>
        <w:widowControl w:val="0"/>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 地点：</w:t>
      </w:r>
      <w:r>
        <w:rPr>
          <w:rFonts w:hint="eastAsia" w:ascii="宋体" w:hAnsi="宋体" w:eastAsia="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51BE6284">
      <w:pPr>
        <w:keepNext w:val="0"/>
        <w:keepLines w:val="0"/>
        <w:pageBreakBefore w:val="0"/>
        <w:widowControl w:val="0"/>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shd w:val="clear" w:color="auto" w:fill="FFFFFF"/>
          <w:lang w:val="en-US" w:eastAsia="zh-CN" w:bidi="ar-SA"/>
        </w:rPr>
        <w:t>五、磋商时间及地点</w:t>
      </w:r>
    </w:p>
    <w:p w14:paraId="52FEDFC3">
      <w:pPr>
        <w:keepNext w:val="0"/>
        <w:keepLines w:val="0"/>
        <w:pageBreakBefore w:val="0"/>
        <w:widowControl w:val="0"/>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 时间：</w:t>
      </w:r>
      <w:r>
        <w:rPr>
          <w:rFonts w:hint="eastAsia" w:ascii="宋体" w:hAnsi="宋体" w:eastAsia="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4454039B">
      <w:pPr>
        <w:keepNext w:val="0"/>
        <w:keepLines w:val="0"/>
        <w:pageBreakBefore w:val="0"/>
        <w:widowControl w:val="0"/>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 地点：</w:t>
      </w:r>
      <w:r>
        <w:rPr>
          <w:rFonts w:hint="eastAsia" w:ascii="宋体" w:hAnsi="宋体" w:eastAsia="宋体" w:cs="宋体"/>
          <w:color w:val="auto"/>
          <w:sz w:val="21"/>
          <w:szCs w:val="21"/>
          <w:highlight w:val="none"/>
          <w:shd w:val="clear" w:color="auto" w:fill="auto"/>
          <w:lang w:val="en-US" w:eastAsia="zh-CN"/>
        </w:rPr>
        <w:t>另行通知</w:t>
      </w:r>
      <w:r>
        <w:rPr>
          <w:rFonts w:hint="eastAsia" w:ascii="宋体" w:hAnsi="宋体" w:eastAsia="宋体" w:cs="宋体"/>
          <w:color w:val="auto"/>
          <w:kern w:val="0"/>
          <w:sz w:val="21"/>
          <w:szCs w:val="21"/>
          <w:highlight w:val="none"/>
          <w:shd w:val="clear" w:color="auto" w:fill="FFFFFF"/>
          <w:lang w:val="en-US" w:eastAsia="zh-CN" w:bidi="ar-SA"/>
        </w:rPr>
        <w:t>。</w:t>
      </w:r>
    </w:p>
    <w:p w14:paraId="3D456729">
      <w:pPr>
        <w:keepNext w:val="0"/>
        <w:keepLines w:val="0"/>
        <w:pageBreakBefore w:val="0"/>
        <w:widowControl w:val="0"/>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1"/>
          <w:highlight w:val="none"/>
          <w:lang w:val="en-US" w:eastAsia="zh-CN" w:bidi="ar-SA"/>
        </w:rPr>
      </w:pPr>
      <w:bookmarkStart w:id="18" w:name="_Toc20287"/>
      <w:bookmarkStart w:id="19" w:name="_Toc29784"/>
      <w:bookmarkStart w:id="20" w:name="_Toc6523"/>
      <w:bookmarkStart w:id="21" w:name="_Toc30918"/>
      <w:r>
        <w:rPr>
          <w:rFonts w:hint="eastAsia" w:ascii="宋体" w:hAnsi="宋体" w:eastAsia="宋体" w:cs="宋体"/>
          <w:b/>
          <w:bCs/>
          <w:color w:val="auto"/>
          <w:kern w:val="2"/>
          <w:sz w:val="21"/>
          <w:szCs w:val="21"/>
          <w:highlight w:val="none"/>
          <w:shd w:val="clear" w:color="auto" w:fill="FFFFFF"/>
          <w:lang w:val="en-US" w:eastAsia="zh-CN" w:bidi="ar-SA"/>
        </w:rPr>
        <w:t>六、发布公告的媒介及</w:t>
      </w:r>
      <w:r>
        <w:rPr>
          <w:rFonts w:hint="eastAsia" w:ascii="宋体" w:hAnsi="宋体" w:eastAsia="宋体" w:cs="宋体"/>
          <w:b/>
          <w:bCs/>
          <w:color w:val="auto"/>
          <w:sz w:val="21"/>
          <w:szCs w:val="21"/>
          <w:highlight w:val="none"/>
          <w:shd w:val="clear" w:color="auto" w:fill="auto"/>
          <w:lang w:val="en-US" w:eastAsia="zh-CN"/>
        </w:rPr>
        <w:t>采购</w:t>
      </w:r>
      <w:r>
        <w:rPr>
          <w:rFonts w:hint="eastAsia" w:ascii="宋体" w:hAnsi="宋体" w:eastAsia="宋体" w:cs="宋体"/>
          <w:b/>
          <w:bCs/>
          <w:color w:val="auto"/>
          <w:kern w:val="2"/>
          <w:sz w:val="21"/>
          <w:szCs w:val="21"/>
          <w:highlight w:val="none"/>
          <w:shd w:val="clear" w:color="auto" w:fill="FFFFFF"/>
          <w:lang w:val="en-US" w:eastAsia="zh-CN" w:bidi="ar-SA"/>
        </w:rPr>
        <w:t>公告期限</w:t>
      </w:r>
      <w:bookmarkEnd w:id="18"/>
      <w:bookmarkEnd w:id="19"/>
      <w:bookmarkEnd w:id="20"/>
      <w:bookmarkEnd w:id="21"/>
    </w:p>
    <w:p w14:paraId="33415FE6">
      <w:pPr>
        <w:keepNext w:val="0"/>
        <w:keepLines w:val="0"/>
        <w:pageBreakBefore w:val="0"/>
        <w:widowControl w:val="0"/>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本次</w:t>
      </w:r>
      <w:r>
        <w:rPr>
          <w:rFonts w:hint="eastAsia" w:ascii="宋体" w:hAnsi="宋体" w:eastAsia="宋体" w:cs="宋体"/>
          <w:color w:val="auto"/>
          <w:sz w:val="21"/>
          <w:szCs w:val="21"/>
          <w:highlight w:val="none"/>
          <w:shd w:val="clear" w:color="auto" w:fill="auto"/>
          <w:lang w:val="en-US" w:eastAsia="zh-CN"/>
        </w:rPr>
        <w:t>采购</w:t>
      </w:r>
      <w:r>
        <w:rPr>
          <w:rFonts w:hint="eastAsia" w:ascii="宋体" w:hAnsi="宋体" w:eastAsia="宋体" w:cs="宋体"/>
          <w:color w:val="auto"/>
          <w:kern w:val="0"/>
          <w:sz w:val="21"/>
          <w:szCs w:val="21"/>
          <w:highlight w:val="none"/>
          <w:shd w:val="clear" w:color="auto" w:fill="FFFFFF"/>
          <w:lang w:val="en-US" w:eastAsia="zh-CN" w:bidi="ar-SA"/>
        </w:rPr>
        <w:t>公告在《驻马店市中心医院》院内网</w:t>
      </w:r>
      <w:r>
        <w:rPr>
          <w:rFonts w:hint="eastAsia" w:ascii="宋体" w:hAnsi="宋体" w:eastAsia="宋体" w:cs="宋体"/>
          <w:color w:val="auto"/>
          <w:sz w:val="21"/>
          <w:szCs w:val="21"/>
          <w:highlight w:val="none"/>
          <w:shd w:val="clear" w:color="auto" w:fill="auto"/>
        </w:rPr>
        <w:t>上发布</w:t>
      </w:r>
      <w:r>
        <w:rPr>
          <w:rFonts w:hint="eastAsia" w:ascii="宋体" w:hAnsi="宋体" w:eastAsia="宋体" w:cs="宋体"/>
          <w:color w:val="auto"/>
          <w:sz w:val="21"/>
          <w:szCs w:val="21"/>
          <w:highlight w:val="none"/>
          <w:shd w:val="clear" w:color="auto" w:fill="auto"/>
          <w:lang w:eastAsia="zh-CN"/>
        </w:rPr>
        <w:t>，</w:t>
      </w:r>
      <w:r>
        <w:rPr>
          <w:rFonts w:hint="eastAsia" w:ascii="宋体" w:hAnsi="宋体" w:eastAsia="宋体" w:cs="宋体"/>
          <w:color w:val="auto"/>
          <w:sz w:val="21"/>
          <w:szCs w:val="21"/>
          <w:highlight w:val="none"/>
          <w:shd w:val="clear" w:color="auto" w:fill="auto"/>
          <w:lang w:val="en-US" w:eastAsia="zh-CN"/>
        </w:rPr>
        <w:t>采购</w:t>
      </w:r>
      <w:r>
        <w:rPr>
          <w:rFonts w:hint="eastAsia" w:ascii="宋体" w:hAnsi="宋体" w:eastAsia="宋体" w:cs="宋体"/>
          <w:color w:val="auto"/>
          <w:sz w:val="21"/>
          <w:szCs w:val="21"/>
          <w:highlight w:val="none"/>
          <w:shd w:val="clear" w:color="auto" w:fill="auto"/>
          <w:lang w:eastAsia="zh-CN"/>
        </w:rPr>
        <w:t>公告期限为</w:t>
      </w:r>
      <w:r>
        <w:rPr>
          <w:rFonts w:hint="eastAsia" w:ascii="宋体" w:hAnsi="宋体" w:eastAsia="宋体" w:cs="宋体"/>
          <w:color w:val="auto"/>
          <w:sz w:val="21"/>
          <w:szCs w:val="21"/>
          <w:highlight w:val="none"/>
          <w:shd w:val="clear" w:color="auto" w:fill="auto"/>
          <w:lang w:val="en-US" w:eastAsia="zh-CN"/>
        </w:rPr>
        <w:t>三</w:t>
      </w:r>
      <w:r>
        <w:rPr>
          <w:rFonts w:hint="eastAsia" w:ascii="宋体" w:hAnsi="宋体" w:eastAsia="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2" w:name="_Toc35393626"/>
      <w:bookmarkStart w:id="23" w:name="_Toc35393795"/>
    </w:p>
    <w:bookmarkEnd w:id="22"/>
    <w:bookmarkEnd w:id="23"/>
    <w:p w14:paraId="5E12EA47">
      <w:pPr>
        <w:keepNext w:val="0"/>
        <w:keepLines w:val="0"/>
        <w:pageBreakBefore w:val="0"/>
        <w:widowControl w:val="0"/>
        <w:kinsoku/>
        <w:overflowPunct/>
        <w:topLinePunct w:val="0"/>
        <w:autoSpaceDE/>
        <w:autoSpaceDN/>
        <w:bidi w:val="0"/>
        <w:snapToGrid w:val="0"/>
        <w:spacing w:before="0" w:after="0" w:line="324" w:lineRule="auto"/>
        <w:jc w:val="left"/>
        <w:textAlignment w:val="auto"/>
        <w:outlineLvl w:val="1"/>
        <w:rPr>
          <w:rFonts w:hint="eastAsia" w:ascii="宋体" w:hAnsi="宋体" w:eastAsia="宋体" w:cs="宋体"/>
          <w:b/>
          <w:bCs/>
          <w:color w:val="auto"/>
          <w:kern w:val="2"/>
          <w:sz w:val="21"/>
          <w:szCs w:val="21"/>
          <w:highlight w:val="none"/>
          <w:lang w:val="en-US" w:eastAsia="zh-CN" w:bidi="ar-SA"/>
        </w:rPr>
      </w:pPr>
      <w:bookmarkStart w:id="24" w:name="_Toc27370"/>
      <w:bookmarkStart w:id="25" w:name="_Toc24274"/>
      <w:bookmarkStart w:id="26" w:name="_Toc31928"/>
      <w:bookmarkStart w:id="27" w:name="_Toc3604"/>
      <w:bookmarkStart w:id="28" w:name="_Toc16291"/>
      <w:r>
        <w:rPr>
          <w:rFonts w:hint="eastAsia" w:ascii="宋体" w:hAnsi="宋体" w:eastAsia="宋体" w:cs="宋体"/>
          <w:b/>
          <w:bCs/>
          <w:color w:val="auto"/>
          <w:kern w:val="2"/>
          <w:sz w:val="21"/>
          <w:szCs w:val="21"/>
          <w:highlight w:val="none"/>
          <w:shd w:val="clear" w:color="auto" w:fill="FFFFFF"/>
          <w:lang w:val="en-US" w:eastAsia="zh-CN" w:bidi="ar-SA"/>
        </w:rPr>
        <w:t>七、</w:t>
      </w:r>
      <w:bookmarkEnd w:id="24"/>
      <w:bookmarkEnd w:id="25"/>
      <w:bookmarkEnd w:id="26"/>
      <w:bookmarkEnd w:id="27"/>
      <w:bookmarkEnd w:id="28"/>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14:paraId="468744B1">
      <w:pPr>
        <w:keepNext w:val="0"/>
        <w:keepLines w:val="0"/>
        <w:pageBreakBefore w:val="0"/>
        <w:widowControl w:val="0"/>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1.采购人：驻马店市中心医院</w:t>
      </w:r>
    </w:p>
    <w:p w14:paraId="3389D957">
      <w:pPr>
        <w:keepNext w:val="0"/>
        <w:keepLines w:val="0"/>
        <w:pageBreakBefore w:val="0"/>
        <w:widowControl w:val="0"/>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地址：驻马店市中华大道747号</w:t>
      </w:r>
    </w:p>
    <w:p w14:paraId="56DBFFAD">
      <w:pPr>
        <w:keepNext w:val="0"/>
        <w:keepLines w:val="0"/>
        <w:pageBreakBefore w:val="0"/>
        <w:widowControl w:val="0"/>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联系人：陈先生</w:t>
      </w:r>
    </w:p>
    <w:p w14:paraId="6126721D">
      <w:pPr>
        <w:keepNext w:val="0"/>
        <w:keepLines w:val="0"/>
        <w:pageBreakBefore w:val="0"/>
        <w:widowControl w:val="0"/>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电话：0396-2726379</w:t>
      </w:r>
    </w:p>
    <w:p w14:paraId="6BDC1A83">
      <w:pPr>
        <w:keepNext w:val="0"/>
        <w:keepLines w:val="0"/>
        <w:pageBreakBefore w:val="0"/>
        <w:widowControl w:val="0"/>
        <w:numPr>
          <w:ilvl w:val="0"/>
          <w:numId w:val="0"/>
        </w:numPr>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0"/>
          <w:sz w:val="21"/>
          <w:szCs w:val="21"/>
          <w:highlight w:val="none"/>
          <w:shd w:val="clear" w:color="auto" w:fill="FFFFFF"/>
          <w:lang w:val="en-US" w:eastAsia="zh-CN" w:bidi="ar-SA"/>
        </w:rPr>
        <w:t>2.</w:t>
      </w:r>
      <w:r>
        <w:rPr>
          <w:rFonts w:hint="eastAsia" w:ascii="宋体" w:hAnsi="宋体" w:eastAsia="宋体" w:cs="宋体"/>
          <w:color w:val="auto"/>
          <w:kern w:val="0"/>
          <w:sz w:val="21"/>
          <w:szCs w:val="21"/>
          <w:highlight w:val="none"/>
          <w:shd w:val="clear" w:color="auto" w:fill="FFFFFF"/>
          <w:lang w:val="en-US" w:eastAsia="zh-CN" w:bidi="ar-SA"/>
        </w:rPr>
        <w:t>采购代理机构：驻马店市晨崴采购代理有限公司</w:t>
      </w:r>
    </w:p>
    <w:p w14:paraId="77299AA2">
      <w:pPr>
        <w:keepNext w:val="0"/>
        <w:keepLines w:val="0"/>
        <w:pageBreakBefore w:val="0"/>
        <w:widowControl w:val="0"/>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 xml:space="preserve">地址：驻马店市解放路西段天腾盛世20号楼1单元3层 </w:t>
      </w:r>
    </w:p>
    <w:p w14:paraId="3FD7F685">
      <w:pPr>
        <w:keepNext w:val="0"/>
        <w:keepLines w:val="0"/>
        <w:pageBreakBefore w:val="0"/>
        <w:widowControl w:val="0"/>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 xml:space="preserve">联系人：胡女士 </w:t>
      </w:r>
    </w:p>
    <w:p w14:paraId="64464721">
      <w:pPr>
        <w:keepNext w:val="0"/>
        <w:keepLines w:val="0"/>
        <w:pageBreakBefore w:val="0"/>
        <w:widowControl w:val="0"/>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0"/>
          <w:sz w:val="21"/>
          <w:szCs w:val="21"/>
          <w:highlight w:val="none"/>
          <w:shd w:val="clear" w:color="auto" w:fill="FFFFFF"/>
          <w:lang w:val="en-US" w:eastAsia="zh-CN" w:bidi="ar-SA"/>
        </w:rPr>
        <w:t>联系方式</w:t>
      </w:r>
      <w:r>
        <w:rPr>
          <w:rFonts w:hint="eastAsia" w:ascii="宋体" w:hAnsi="宋体" w:eastAsia="宋体" w:cs="宋体"/>
          <w:color w:val="auto"/>
          <w:kern w:val="0"/>
          <w:sz w:val="21"/>
          <w:szCs w:val="21"/>
          <w:highlight w:val="none"/>
          <w:shd w:val="clear" w:color="auto" w:fill="FFFFFF"/>
          <w:lang w:val="en-US" w:eastAsia="zh-CN" w:bidi="ar-SA"/>
        </w:rPr>
        <w:t>：0396-2288885</w:t>
      </w:r>
    </w:p>
    <w:p w14:paraId="2BB15010">
      <w:pPr>
        <w:keepNext w:val="0"/>
        <w:keepLines w:val="0"/>
        <w:pageBreakBefore w:val="0"/>
        <w:widowControl w:val="0"/>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3.监督部门：驻马店市中心医院纪检监察室</w:t>
      </w:r>
    </w:p>
    <w:p w14:paraId="5BB2E390">
      <w:pPr>
        <w:keepNext w:val="0"/>
        <w:keepLines w:val="0"/>
        <w:pageBreakBefore w:val="0"/>
        <w:widowControl w:val="0"/>
        <w:kinsoku/>
        <w:overflowPunct/>
        <w:topLinePunct w:val="0"/>
        <w:autoSpaceDE/>
        <w:autoSpaceDN/>
        <w:bidi w:val="0"/>
        <w:snapToGrid w:val="0"/>
        <w:spacing w:before="0" w:beforeAutospacing="0" w:after="0" w:afterAutospacing="0" w:line="324" w:lineRule="auto"/>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监督电话：0396-2726678</w:t>
      </w:r>
    </w:p>
    <w:p w14:paraId="189E5960">
      <w:pPr>
        <w:keepNext w:val="0"/>
        <w:keepLines w:val="0"/>
        <w:pageBreakBefore w:val="0"/>
        <w:widowControl w:val="0"/>
        <w:kinsoku/>
        <w:overflowPunct/>
        <w:topLinePunct w:val="0"/>
        <w:autoSpaceDE/>
        <w:autoSpaceDN/>
        <w:bidi w:val="0"/>
        <w:snapToGrid w:val="0"/>
        <w:spacing w:before="0" w:beforeAutospacing="0" w:after="0" w:afterAutospacing="0" w:line="324" w:lineRule="auto"/>
        <w:ind w:firstLine="420" w:firstLineChars="200"/>
        <w:jc w:val="righ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驻马店市中心医院采购科</w:t>
      </w:r>
    </w:p>
    <w:p w14:paraId="2B5979AB">
      <w:pPr>
        <w:pStyle w:val="29"/>
        <w:keepNext w:val="0"/>
        <w:keepLines w:val="0"/>
        <w:pageBreakBefore w:val="0"/>
        <w:widowControl w:val="0"/>
        <w:kinsoku/>
        <w:overflowPunct/>
        <w:topLinePunct w:val="0"/>
        <w:autoSpaceDE/>
        <w:autoSpaceDN/>
        <w:bidi w:val="0"/>
        <w:snapToGrid w:val="0"/>
        <w:spacing w:before="0" w:beforeAutospacing="0" w:after="0" w:afterAutospacing="0" w:line="324" w:lineRule="auto"/>
        <w:ind w:firstLine="420" w:firstLineChars="200"/>
        <w:jc w:val="center"/>
        <w:textAlignment w:val="auto"/>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kern w:val="0"/>
          <w:sz w:val="21"/>
          <w:szCs w:val="21"/>
          <w:highlight w:val="none"/>
          <w:shd w:val="clear" w:color="auto" w:fill="FFFFFF"/>
          <w:lang w:val="en-US" w:eastAsia="zh-CN" w:bidi="ar-SA"/>
        </w:rPr>
        <w:t xml:space="preserve">                                                         </w:t>
      </w:r>
      <w:r>
        <w:rPr>
          <w:rFonts w:hint="eastAsia" w:ascii="宋体" w:hAnsi="宋体" w:eastAsia="宋体" w:cs="宋体"/>
          <w:color w:val="auto"/>
          <w:sz w:val="21"/>
          <w:szCs w:val="21"/>
          <w:highlight w:val="none"/>
          <w:shd w:val="clear" w:color="auto" w:fill="FFFFFF"/>
        </w:rPr>
        <w:t>202</w:t>
      </w:r>
      <w:r>
        <w:rPr>
          <w:rFonts w:hint="eastAsia" w:ascii="宋体" w:hAnsi="宋体" w:eastAsia="宋体" w:cs="宋体"/>
          <w:color w:val="auto"/>
          <w:sz w:val="21"/>
          <w:szCs w:val="21"/>
          <w:highlight w:val="none"/>
          <w:shd w:val="clear" w:color="auto" w:fill="FFFFFF"/>
          <w:lang w:val="en-US" w:eastAsia="zh-CN"/>
        </w:rPr>
        <w:t>5</w:t>
      </w:r>
      <w:r>
        <w:rPr>
          <w:rFonts w:hint="eastAsia" w:ascii="宋体" w:hAnsi="宋体" w:eastAsia="宋体" w:cs="宋体"/>
          <w:color w:val="auto"/>
          <w:sz w:val="21"/>
          <w:szCs w:val="21"/>
          <w:highlight w:val="none"/>
          <w:shd w:val="clear" w:color="auto" w:fill="FFFFFF"/>
        </w:rPr>
        <w:t>年</w:t>
      </w:r>
      <w:r>
        <w:rPr>
          <w:rFonts w:hint="eastAsia" w:ascii="宋体" w:hAnsi="宋体" w:cs="宋体"/>
          <w:color w:val="auto"/>
          <w:sz w:val="21"/>
          <w:szCs w:val="21"/>
          <w:highlight w:val="none"/>
          <w:shd w:val="clear" w:color="auto" w:fill="FFFFFF"/>
          <w:lang w:val="en-US" w:eastAsia="zh-CN"/>
        </w:rPr>
        <w:t>06</w:t>
      </w:r>
      <w:r>
        <w:rPr>
          <w:rFonts w:hint="eastAsia" w:ascii="宋体" w:hAnsi="宋体" w:eastAsia="宋体" w:cs="宋体"/>
          <w:color w:val="auto"/>
          <w:sz w:val="21"/>
          <w:szCs w:val="21"/>
          <w:highlight w:val="none"/>
          <w:shd w:val="clear" w:color="auto" w:fill="FFFFFF"/>
        </w:rPr>
        <w:t>月</w:t>
      </w:r>
      <w:r>
        <w:rPr>
          <w:rFonts w:hint="eastAsia" w:ascii="宋体" w:hAnsi="宋体" w:cs="宋体"/>
          <w:color w:val="auto"/>
          <w:sz w:val="21"/>
          <w:szCs w:val="21"/>
          <w:highlight w:val="none"/>
          <w:shd w:val="clear" w:color="auto" w:fill="FFFFFF"/>
          <w:lang w:val="en-US" w:eastAsia="zh-CN"/>
        </w:rPr>
        <w:t>06</w:t>
      </w:r>
      <w:r>
        <w:rPr>
          <w:rFonts w:hint="eastAsia" w:ascii="宋体" w:hAnsi="宋体" w:eastAsia="宋体" w:cs="宋体"/>
          <w:color w:val="auto"/>
          <w:sz w:val="21"/>
          <w:szCs w:val="21"/>
          <w:highlight w:val="none"/>
          <w:shd w:val="clear" w:color="auto" w:fill="FFFFFF"/>
        </w:rPr>
        <w:t>日</w:t>
      </w:r>
    </w:p>
    <w:p w14:paraId="1C0E0222">
      <w:pPr>
        <w:keepNext w:val="0"/>
        <w:pageBreakBefore w:val="0"/>
        <w:widowControl w:val="0"/>
        <w:overflowPunct/>
        <w:topLinePunct w:val="0"/>
        <w:bidi w:val="0"/>
        <w:rPr>
          <w:rFonts w:hint="eastAsia" w:ascii="宋体" w:hAnsi="宋体" w:eastAsia="宋体" w:cs="宋体"/>
          <w:b/>
          <w:color w:val="auto"/>
          <w:sz w:val="32"/>
          <w:szCs w:val="32"/>
          <w:highlight w:val="none"/>
        </w:rPr>
      </w:pPr>
      <w:bookmarkStart w:id="29" w:name="_Toc29890"/>
      <w:bookmarkStart w:id="30" w:name="_Toc23793"/>
      <w:r>
        <w:rPr>
          <w:rFonts w:hint="eastAsia" w:ascii="宋体" w:hAnsi="宋体" w:eastAsia="宋体" w:cs="宋体"/>
          <w:b/>
          <w:color w:val="auto"/>
          <w:sz w:val="32"/>
          <w:szCs w:val="32"/>
          <w:highlight w:val="none"/>
        </w:rPr>
        <w:br w:type="page"/>
      </w:r>
    </w:p>
    <w:p w14:paraId="32464726">
      <w:pPr>
        <w:keepNext w:val="0"/>
        <w:pageBreakBefore w:val="0"/>
        <w:widowControl w:val="0"/>
        <w:overflowPunct/>
        <w:topLinePunct w:val="0"/>
        <w:bidi w:val="0"/>
        <w:spacing w:line="360" w:lineRule="auto"/>
        <w:ind w:firstLine="643" w:firstLineChars="200"/>
        <w:jc w:val="center"/>
        <w:outlineLvl w:val="0"/>
        <w:rPr>
          <w:rFonts w:hint="eastAsia" w:ascii="宋体" w:hAnsi="宋体" w:eastAsia="宋体" w:cs="宋体"/>
          <w:b/>
          <w:color w:val="auto"/>
          <w:sz w:val="32"/>
          <w:szCs w:val="32"/>
          <w:highlight w:val="none"/>
        </w:rPr>
      </w:pPr>
      <w:bookmarkStart w:id="31" w:name="_Toc19124"/>
      <w:r>
        <w:rPr>
          <w:rFonts w:hint="eastAsia" w:ascii="宋体" w:hAnsi="宋体" w:eastAsia="宋体" w:cs="宋体"/>
          <w:b/>
          <w:color w:val="auto"/>
          <w:sz w:val="32"/>
          <w:szCs w:val="32"/>
          <w:highlight w:val="none"/>
        </w:rPr>
        <w:t xml:space="preserve">第二章  </w:t>
      </w:r>
      <w:r>
        <w:rPr>
          <w:rFonts w:hint="eastAsia" w:ascii="宋体" w:hAnsi="宋体" w:eastAsia="宋体" w:cs="宋体"/>
          <w:b/>
          <w:color w:val="auto"/>
          <w:sz w:val="32"/>
          <w:szCs w:val="32"/>
          <w:highlight w:val="none"/>
          <w:lang w:eastAsia="zh-CN"/>
        </w:rPr>
        <w:t>采购</w:t>
      </w:r>
      <w:r>
        <w:rPr>
          <w:rFonts w:hint="eastAsia" w:ascii="宋体" w:hAnsi="宋体" w:eastAsia="宋体" w:cs="宋体"/>
          <w:b/>
          <w:color w:val="auto"/>
          <w:sz w:val="32"/>
          <w:szCs w:val="32"/>
          <w:highlight w:val="none"/>
        </w:rPr>
        <w:t>需求</w:t>
      </w:r>
      <w:bookmarkEnd w:id="31"/>
      <w:bookmarkStart w:id="32" w:name="_Toc23610"/>
      <w:bookmarkStart w:id="33" w:name="_Toc31536"/>
      <w:bookmarkStart w:id="34" w:name="_Toc9989"/>
    </w:p>
    <w:bookmarkEnd w:id="29"/>
    <w:bookmarkEnd w:id="30"/>
    <w:bookmarkEnd w:id="32"/>
    <w:bookmarkEnd w:id="33"/>
    <w:bookmarkEnd w:id="34"/>
    <w:p w14:paraId="3052BC61">
      <w:pPr>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宋体" w:hAnsi="宋体" w:cs="宋体"/>
          <w:b w:val="0"/>
          <w:bCs w:val="0"/>
          <w:i w:val="0"/>
          <w:iCs/>
          <w:color w:val="auto"/>
          <w:sz w:val="21"/>
          <w:szCs w:val="21"/>
          <w:highlight w:val="none"/>
          <w:u w:val="none"/>
          <w:lang w:val="en-US" w:eastAsia="zh-CN"/>
        </w:rPr>
      </w:pPr>
      <w:r>
        <w:rPr>
          <w:rFonts w:hint="eastAsia" w:ascii="宋体" w:hAnsi="宋体" w:eastAsia="宋体" w:cs="宋体"/>
          <w:b/>
          <w:bCs/>
          <w:i w:val="0"/>
          <w:iCs/>
          <w:color w:val="auto"/>
          <w:sz w:val="21"/>
          <w:szCs w:val="21"/>
          <w:highlight w:val="none"/>
          <w:u w:val="none"/>
          <w:lang w:val="en-US" w:eastAsia="zh-CN"/>
        </w:rPr>
        <w:t>一、项目名称：</w:t>
      </w:r>
      <w:r>
        <w:rPr>
          <w:rFonts w:hint="eastAsia" w:ascii="宋体" w:hAnsi="宋体" w:cs="宋体"/>
          <w:b w:val="0"/>
          <w:bCs w:val="0"/>
          <w:i w:val="0"/>
          <w:iCs/>
          <w:color w:val="auto"/>
          <w:sz w:val="21"/>
          <w:szCs w:val="21"/>
          <w:highlight w:val="none"/>
          <w:u w:val="none"/>
          <w:lang w:val="en-US" w:eastAsia="zh-CN"/>
        </w:rPr>
        <w:t>驻马店市中心医院3号楼应急照明系统电池、应急照明灯具采购安装项目</w:t>
      </w:r>
    </w:p>
    <w:p w14:paraId="191FED78">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jc w:val="left"/>
        <w:textAlignment w:val="auto"/>
        <w:rPr>
          <w:rFonts w:hint="eastAsia" w:ascii="宋体" w:hAnsi="宋体" w:eastAsia="宋体" w:cs="宋体"/>
          <w:b/>
          <w:bCs/>
          <w:color w:val="auto"/>
          <w:kern w:val="0"/>
          <w:sz w:val="21"/>
          <w:szCs w:val="21"/>
          <w:highlight w:val="none"/>
          <w:shd w:val="clear" w:color="auto" w:fill="FFFFFF"/>
          <w:lang w:val="en-US" w:eastAsia="zh-CN" w:bidi="ar-SA"/>
        </w:rPr>
      </w:pPr>
      <w:r>
        <w:rPr>
          <w:rFonts w:hint="eastAsia" w:ascii="宋体" w:hAnsi="宋体" w:cs="宋体"/>
          <w:b/>
          <w:bCs/>
          <w:i w:val="0"/>
          <w:iCs/>
          <w:color w:val="auto"/>
          <w:sz w:val="21"/>
          <w:szCs w:val="21"/>
          <w:highlight w:val="none"/>
          <w:u w:val="none"/>
          <w:lang w:val="en-US" w:eastAsia="zh-CN"/>
        </w:rPr>
        <w:t>二、项目基本情况：</w:t>
      </w:r>
    </w:p>
    <w:p w14:paraId="5DE43940">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0"/>
          <w:sz w:val="21"/>
          <w:szCs w:val="21"/>
          <w:highlight w:val="none"/>
          <w:shd w:val="clear" w:color="auto" w:fill="FFFFFF"/>
          <w:lang w:val="en-US" w:eastAsia="zh-CN" w:bidi="ar-SA"/>
        </w:rPr>
        <w:t>2.1</w:t>
      </w:r>
      <w:r>
        <w:rPr>
          <w:rFonts w:hint="eastAsia" w:ascii="宋体" w:hAnsi="宋体" w:eastAsia="宋体" w:cs="宋体"/>
          <w:color w:val="auto"/>
          <w:kern w:val="0"/>
          <w:sz w:val="21"/>
          <w:szCs w:val="21"/>
          <w:highlight w:val="none"/>
          <w:shd w:val="clear" w:color="auto" w:fill="FFFFFF"/>
          <w:lang w:val="en-US" w:eastAsia="zh-CN" w:bidi="ar-SA"/>
        </w:rPr>
        <w:t>根据现场工作人员排查。现计划对3号楼病房楼应急照明和疏散指示系统的电池、应急照明灯具进行采购更换，使系统稳定达标运行。</w:t>
      </w:r>
    </w:p>
    <w:p w14:paraId="11340354">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default" w:ascii="宋体" w:hAnsi="宋体" w:cs="宋体"/>
          <w:b w:val="0"/>
          <w:bCs w:val="0"/>
          <w:i w:val="0"/>
          <w:iCs/>
          <w:color w:val="auto"/>
          <w:sz w:val="21"/>
          <w:szCs w:val="21"/>
          <w:highlight w:val="none"/>
          <w:u w:val="none"/>
          <w:lang w:val="en-US" w:eastAsia="zh-CN"/>
        </w:rPr>
      </w:pPr>
      <w:r>
        <w:rPr>
          <w:rFonts w:hint="eastAsia" w:ascii="宋体" w:hAnsi="宋体" w:cs="宋体"/>
          <w:color w:val="auto"/>
          <w:kern w:val="0"/>
          <w:sz w:val="21"/>
          <w:szCs w:val="21"/>
          <w:highlight w:val="none"/>
          <w:shd w:val="clear" w:color="auto" w:fill="FFFFFF"/>
          <w:lang w:val="en-US" w:eastAsia="zh-CN" w:bidi="ar-SA"/>
        </w:rPr>
        <w:t>2</w:t>
      </w:r>
      <w:r>
        <w:rPr>
          <w:rFonts w:hint="eastAsia" w:ascii="宋体" w:hAnsi="宋体" w:eastAsia="宋体" w:cs="宋体"/>
          <w:color w:val="auto"/>
          <w:kern w:val="0"/>
          <w:sz w:val="21"/>
          <w:szCs w:val="21"/>
          <w:highlight w:val="none"/>
          <w:shd w:val="clear" w:color="auto" w:fill="FFFFFF"/>
          <w:lang w:val="en-US" w:eastAsia="zh-CN" w:bidi="ar-SA"/>
        </w:rPr>
        <w:t>.2项目地点：驻马店市中心医院3号楼；</w:t>
      </w:r>
    </w:p>
    <w:p w14:paraId="774013EF">
      <w:pPr>
        <w:pStyle w:val="13"/>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60" w:lineRule="auto"/>
        <w:jc w:val="both"/>
        <w:textAlignment w:val="auto"/>
        <w:rPr>
          <w:rFonts w:hint="eastAsia" w:ascii="宋体" w:hAnsi="宋体" w:eastAsia="宋体" w:cs="宋体"/>
          <w:b/>
          <w:bCs/>
          <w:color w:val="auto"/>
          <w:kern w:val="2"/>
          <w:sz w:val="21"/>
          <w:szCs w:val="24"/>
          <w:highlight w:val="none"/>
          <w:lang w:val="en-US" w:eastAsia="zh-CN" w:bidi="ar-SA"/>
        </w:rPr>
      </w:pPr>
      <w:r>
        <w:rPr>
          <w:rFonts w:hint="eastAsia" w:cs="宋体"/>
          <w:b/>
          <w:bCs/>
          <w:color w:val="auto"/>
          <w:kern w:val="2"/>
          <w:sz w:val="21"/>
          <w:szCs w:val="24"/>
          <w:highlight w:val="none"/>
          <w:lang w:val="en-US" w:eastAsia="zh-CN" w:bidi="ar-SA"/>
        </w:rPr>
        <w:t>三</w:t>
      </w:r>
      <w:r>
        <w:rPr>
          <w:rFonts w:hint="eastAsia" w:ascii="宋体" w:hAnsi="宋体" w:eastAsia="宋体" w:cs="宋体"/>
          <w:b/>
          <w:bCs/>
          <w:color w:val="auto"/>
          <w:kern w:val="2"/>
          <w:sz w:val="21"/>
          <w:szCs w:val="24"/>
          <w:highlight w:val="none"/>
          <w:lang w:val="en-US" w:eastAsia="zh-CN" w:bidi="ar-SA"/>
        </w:rPr>
        <w:t>、采购标的清单：</w:t>
      </w:r>
    </w:p>
    <w:tbl>
      <w:tblPr>
        <w:tblStyle w:val="33"/>
        <w:tblW w:w="8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
        <w:gridCol w:w="5"/>
        <w:gridCol w:w="2067"/>
        <w:gridCol w:w="922"/>
        <w:gridCol w:w="967"/>
        <w:gridCol w:w="1384"/>
        <w:gridCol w:w="1110"/>
        <w:gridCol w:w="1240"/>
        <w:gridCol w:w="5"/>
      </w:tblGrid>
      <w:tr w14:paraId="1B366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dxa"/>
            <w:gridSpan w:val="2"/>
            <w:vAlign w:val="center"/>
          </w:tcPr>
          <w:p w14:paraId="7BB03108">
            <w:pPr>
              <w:pStyle w:val="13"/>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ind w:left="0" w:leftChars="0" w:firstLine="0" w:firstLineChars="0"/>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b/>
                <w:bCs/>
                <w:color w:val="auto"/>
                <w:sz w:val="21"/>
                <w:szCs w:val="21"/>
                <w:highlight w:val="none"/>
              </w:rPr>
              <w:t>序号</w:t>
            </w:r>
          </w:p>
        </w:tc>
        <w:tc>
          <w:tcPr>
            <w:tcW w:w="2067" w:type="dxa"/>
            <w:vAlign w:val="center"/>
          </w:tcPr>
          <w:p w14:paraId="1C818719">
            <w:pPr>
              <w:pStyle w:val="13"/>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ind w:left="0" w:leftChars="0" w:firstLine="0" w:firstLineChars="0"/>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b/>
                <w:bCs/>
                <w:color w:val="auto"/>
                <w:sz w:val="21"/>
                <w:szCs w:val="21"/>
                <w:highlight w:val="none"/>
              </w:rPr>
              <w:t>标的名称</w:t>
            </w:r>
          </w:p>
        </w:tc>
        <w:tc>
          <w:tcPr>
            <w:tcW w:w="922" w:type="dxa"/>
            <w:vAlign w:val="center"/>
          </w:tcPr>
          <w:p w14:paraId="2AF52A7A">
            <w:pPr>
              <w:pStyle w:val="13"/>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ind w:left="0" w:leftChars="0" w:firstLine="0" w:firstLineChars="0"/>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b/>
                <w:bCs/>
                <w:color w:val="auto"/>
                <w:sz w:val="21"/>
                <w:szCs w:val="21"/>
                <w:highlight w:val="none"/>
                <w:lang w:val="en-US" w:eastAsia="zh-CN"/>
              </w:rPr>
              <w:t>单位</w:t>
            </w:r>
          </w:p>
        </w:tc>
        <w:tc>
          <w:tcPr>
            <w:tcW w:w="967" w:type="dxa"/>
            <w:vAlign w:val="center"/>
          </w:tcPr>
          <w:p w14:paraId="78A9F1D6">
            <w:pPr>
              <w:pStyle w:val="13"/>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ind w:left="0" w:leftChars="0" w:firstLine="0" w:firstLineChars="0"/>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b/>
                <w:bCs/>
                <w:color w:val="auto"/>
                <w:sz w:val="21"/>
                <w:szCs w:val="21"/>
                <w:highlight w:val="none"/>
              </w:rPr>
              <w:t>数量</w:t>
            </w:r>
          </w:p>
        </w:tc>
        <w:tc>
          <w:tcPr>
            <w:tcW w:w="1384" w:type="dxa"/>
            <w:vAlign w:val="center"/>
          </w:tcPr>
          <w:p w14:paraId="665A7C5C">
            <w:pPr>
              <w:pStyle w:val="13"/>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ind w:left="0" w:leftChars="0"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资金</w:t>
            </w:r>
          </w:p>
          <w:p w14:paraId="2259F43F">
            <w:pPr>
              <w:pStyle w:val="13"/>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ind w:left="0" w:leftChars="0" w:firstLine="0" w:firstLineChars="0"/>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b/>
                <w:bCs/>
                <w:color w:val="auto"/>
                <w:sz w:val="21"/>
                <w:szCs w:val="21"/>
                <w:highlight w:val="none"/>
              </w:rPr>
              <w:t>预算</w:t>
            </w:r>
          </w:p>
        </w:tc>
        <w:tc>
          <w:tcPr>
            <w:tcW w:w="1110" w:type="dxa"/>
            <w:vAlign w:val="center"/>
          </w:tcPr>
          <w:p w14:paraId="0C32BA6B">
            <w:pPr>
              <w:pStyle w:val="13"/>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ind w:left="0" w:leftChars="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资金</w:t>
            </w:r>
          </w:p>
          <w:p w14:paraId="0F2FBFFE">
            <w:pPr>
              <w:pStyle w:val="13"/>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ind w:left="0" w:leftChars="0" w:firstLine="0" w:firstLineChars="0"/>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b/>
                <w:bCs/>
                <w:color w:val="auto"/>
                <w:sz w:val="21"/>
                <w:szCs w:val="21"/>
                <w:highlight w:val="none"/>
                <w:lang w:val="en-US" w:eastAsia="zh-CN"/>
              </w:rPr>
              <w:t>性质</w:t>
            </w:r>
          </w:p>
        </w:tc>
        <w:tc>
          <w:tcPr>
            <w:tcW w:w="1245" w:type="dxa"/>
            <w:gridSpan w:val="2"/>
            <w:vAlign w:val="center"/>
          </w:tcPr>
          <w:p w14:paraId="0D5173FD">
            <w:pPr>
              <w:pStyle w:val="13"/>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ind w:left="0" w:leftChars="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国产/</w:t>
            </w:r>
          </w:p>
          <w:p w14:paraId="5E8880A2">
            <w:pPr>
              <w:pStyle w:val="13"/>
              <w:keepNext w:val="0"/>
              <w:keepLines w:val="0"/>
              <w:pageBreakBefore w:val="0"/>
              <w:widowControl w:val="0"/>
              <w:kinsoku/>
              <w:wordWrap/>
              <w:overflowPunct/>
              <w:topLinePunct w:val="0"/>
              <w:autoSpaceDE/>
              <w:autoSpaceDN/>
              <w:bidi w:val="0"/>
              <w:adjustRightInd/>
              <w:snapToGrid/>
              <w:spacing w:before="0" w:beforeAutospacing="0" w:after="0" w:afterAutospacing="0" w:line="340" w:lineRule="exact"/>
              <w:ind w:left="0" w:leftChars="0" w:firstLine="0" w:firstLineChars="0"/>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b/>
                <w:bCs/>
                <w:color w:val="auto"/>
                <w:sz w:val="21"/>
                <w:szCs w:val="21"/>
                <w:highlight w:val="none"/>
                <w:lang w:val="en-US" w:eastAsia="zh-CN"/>
              </w:rPr>
              <w:t>进口</w:t>
            </w:r>
          </w:p>
        </w:tc>
      </w:tr>
      <w:tr w14:paraId="6C669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 w:type="dxa"/>
            <w:gridSpan w:val="2"/>
            <w:shd w:val="clear" w:color="auto" w:fill="auto"/>
            <w:vAlign w:val="center"/>
          </w:tcPr>
          <w:p w14:paraId="7E2267BB">
            <w:pPr>
              <w:keepNext w:val="0"/>
              <w:keepLines w:val="0"/>
              <w:pageBreakBefore w:val="0"/>
              <w:widowControl w:val="0"/>
              <w:numPr>
                <w:ilvl w:val="0"/>
                <w:numId w:val="0"/>
              </w:numPr>
              <w:kinsoku/>
              <w:wordWrap/>
              <w:overflowPunct/>
              <w:topLinePunct w:val="0"/>
              <w:autoSpaceDE/>
              <w:autoSpaceDN/>
              <w:bidi w:val="0"/>
              <w:adjustRightInd/>
              <w:snapToGrid/>
              <w:spacing w:beforeAutospacing="0" w:line="420" w:lineRule="exact"/>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2067" w:type="dxa"/>
            <w:shd w:val="clear" w:color="auto" w:fill="auto"/>
            <w:vAlign w:val="center"/>
          </w:tcPr>
          <w:p w14:paraId="32751584">
            <w:pPr>
              <w:keepNext w:val="0"/>
              <w:keepLines w:val="0"/>
              <w:pageBreakBefore w:val="0"/>
              <w:widowControl w:val="0"/>
              <w:numPr>
                <w:ilvl w:val="0"/>
                <w:numId w:val="0"/>
              </w:numPr>
              <w:kinsoku/>
              <w:wordWrap/>
              <w:overflowPunct/>
              <w:topLinePunct w:val="0"/>
              <w:autoSpaceDE/>
              <w:autoSpaceDN/>
              <w:bidi w:val="0"/>
              <w:adjustRightInd/>
              <w:snapToGrid/>
              <w:spacing w:beforeAutospacing="0" w:line="420" w:lineRule="exact"/>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b w:val="0"/>
                <w:bCs w:val="0"/>
                <w:i w:val="0"/>
                <w:iCs/>
                <w:color w:val="auto"/>
                <w:sz w:val="21"/>
                <w:szCs w:val="21"/>
                <w:highlight w:val="none"/>
                <w:u w:val="none"/>
                <w:lang w:val="en-US" w:eastAsia="zh-CN"/>
              </w:rPr>
              <w:t>3号楼应急照明系统电池、应急照明灯具采购安装</w:t>
            </w:r>
          </w:p>
        </w:tc>
        <w:tc>
          <w:tcPr>
            <w:tcW w:w="922" w:type="dxa"/>
            <w:shd w:val="clear" w:color="auto" w:fill="auto"/>
            <w:vAlign w:val="center"/>
          </w:tcPr>
          <w:p w14:paraId="2D610A1B">
            <w:pPr>
              <w:keepNext w:val="0"/>
              <w:keepLines w:val="0"/>
              <w:pageBreakBefore w:val="0"/>
              <w:widowControl w:val="0"/>
              <w:numPr>
                <w:ilvl w:val="0"/>
                <w:numId w:val="0"/>
              </w:numPr>
              <w:kinsoku/>
              <w:wordWrap/>
              <w:overflowPunct/>
              <w:topLinePunct w:val="0"/>
              <w:autoSpaceDE/>
              <w:autoSpaceDN/>
              <w:bidi w:val="0"/>
              <w:adjustRightInd/>
              <w:snapToGrid/>
              <w:spacing w:beforeAutospacing="0" w:line="420" w:lineRule="exact"/>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w:t>
            </w:r>
          </w:p>
        </w:tc>
        <w:tc>
          <w:tcPr>
            <w:tcW w:w="967" w:type="dxa"/>
            <w:shd w:val="clear" w:color="auto" w:fill="auto"/>
            <w:vAlign w:val="center"/>
          </w:tcPr>
          <w:p w14:paraId="6E5A7B3B">
            <w:pPr>
              <w:keepNext w:val="0"/>
              <w:keepLines w:val="0"/>
              <w:pageBreakBefore w:val="0"/>
              <w:widowControl w:val="0"/>
              <w:numPr>
                <w:ilvl w:val="0"/>
                <w:numId w:val="0"/>
              </w:numPr>
              <w:kinsoku/>
              <w:wordWrap/>
              <w:overflowPunct/>
              <w:topLinePunct w:val="0"/>
              <w:autoSpaceDE/>
              <w:autoSpaceDN/>
              <w:bidi w:val="0"/>
              <w:adjustRightInd/>
              <w:snapToGrid/>
              <w:spacing w:beforeAutospacing="0" w:line="420" w:lineRule="exact"/>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w:t>
            </w:r>
          </w:p>
        </w:tc>
        <w:tc>
          <w:tcPr>
            <w:tcW w:w="1384" w:type="dxa"/>
            <w:shd w:val="clear" w:color="auto" w:fill="auto"/>
            <w:vAlign w:val="center"/>
          </w:tcPr>
          <w:p w14:paraId="3326862B">
            <w:pPr>
              <w:keepNext w:val="0"/>
              <w:keepLines w:val="0"/>
              <w:pageBreakBefore w:val="0"/>
              <w:widowControl w:val="0"/>
              <w:numPr>
                <w:ilvl w:val="0"/>
                <w:numId w:val="0"/>
              </w:numPr>
              <w:kinsoku/>
              <w:wordWrap/>
              <w:overflowPunct/>
              <w:topLinePunct w:val="0"/>
              <w:autoSpaceDE/>
              <w:autoSpaceDN/>
              <w:bidi w:val="0"/>
              <w:adjustRightInd/>
              <w:snapToGrid/>
              <w:spacing w:beforeAutospacing="0" w:line="420" w:lineRule="exact"/>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15万元</w:t>
            </w:r>
          </w:p>
        </w:tc>
        <w:tc>
          <w:tcPr>
            <w:tcW w:w="1110" w:type="dxa"/>
            <w:shd w:val="clear" w:color="auto" w:fill="auto"/>
            <w:vAlign w:val="center"/>
          </w:tcPr>
          <w:p w14:paraId="18BFE3E9">
            <w:pPr>
              <w:keepNext w:val="0"/>
              <w:keepLines w:val="0"/>
              <w:pageBreakBefore w:val="0"/>
              <w:widowControl w:val="0"/>
              <w:numPr>
                <w:ilvl w:val="0"/>
                <w:numId w:val="0"/>
              </w:numPr>
              <w:kinsoku/>
              <w:wordWrap/>
              <w:overflowPunct/>
              <w:topLinePunct w:val="0"/>
              <w:autoSpaceDE/>
              <w:autoSpaceDN/>
              <w:bidi w:val="0"/>
              <w:adjustRightInd/>
              <w:snapToGrid/>
              <w:spacing w:beforeAutospacing="0" w:line="420" w:lineRule="exact"/>
              <w:ind w:left="0" w:leftChars="0" w:firstLine="0" w:firstLineChars="0"/>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自筹</w:t>
            </w:r>
          </w:p>
        </w:tc>
        <w:tc>
          <w:tcPr>
            <w:tcW w:w="1245" w:type="dxa"/>
            <w:gridSpan w:val="2"/>
            <w:shd w:val="clear" w:color="auto" w:fill="auto"/>
            <w:vAlign w:val="center"/>
          </w:tcPr>
          <w:p w14:paraId="1F5FAC60">
            <w:pPr>
              <w:keepNext w:val="0"/>
              <w:keepLines w:val="0"/>
              <w:pageBreakBefore w:val="0"/>
              <w:widowControl w:val="0"/>
              <w:numPr>
                <w:ilvl w:val="0"/>
                <w:numId w:val="0"/>
              </w:numPr>
              <w:kinsoku/>
              <w:wordWrap/>
              <w:overflowPunct/>
              <w:topLinePunct w:val="0"/>
              <w:autoSpaceDE/>
              <w:autoSpaceDN/>
              <w:bidi w:val="0"/>
              <w:adjustRightInd/>
              <w:snapToGrid/>
              <w:spacing w:beforeAutospacing="0" w:line="420" w:lineRule="exact"/>
              <w:ind w:left="0" w:leftChars="0" w:firstLine="0" w:firstLineChars="0"/>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国产</w:t>
            </w:r>
          </w:p>
        </w:tc>
      </w:tr>
      <w:tr w14:paraId="3A523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dxa"/>
          <w:jc w:val="center"/>
        </w:trPr>
        <w:tc>
          <w:tcPr>
            <w:tcW w:w="985" w:type="dxa"/>
            <w:vAlign w:val="center"/>
          </w:tcPr>
          <w:p w14:paraId="1821A6B2">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eastAsia" w:ascii="宋体" w:hAnsi="宋体" w:eastAsia="宋体" w:cs="宋体"/>
                <w:b/>
                <w:bCs/>
                <w:color w:val="auto"/>
                <w:sz w:val="21"/>
                <w:szCs w:val="21"/>
                <w:highlight w:val="none"/>
                <w:vertAlign w:val="baseline"/>
                <w:lang w:val="en-US" w:eastAsia="zh-CN"/>
              </w:rPr>
            </w:pPr>
            <w:r>
              <w:rPr>
                <w:rFonts w:hint="eastAsia" w:ascii="宋体" w:hAnsi="宋体" w:eastAsia="宋体" w:cs="宋体"/>
                <w:b/>
                <w:bCs/>
                <w:color w:val="auto"/>
                <w:sz w:val="21"/>
                <w:szCs w:val="21"/>
                <w:highlight w:val="none"/>
                <w:vertAlign w:val="baseline"/>
                <w:lang w:val="en-US" w:eastAsia="zh-CN"/>
              </w:rPr>
              <w:t>备注</w:t>
            </w:r>
          </w:p>
        </w:tc>
        <w:tc>
          <w:tcPr>
            <w:tcW w:w="7695" w:type="dxa"/>
            <w:gridSpan w:val="7"/>
            <w:vAlign w:val="center"/>
          </w:tcPr>
          <w:p w14:paraId="4F1CEB2D">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jc w:val="center"/>
              <w:textAlignment w:val="auto"/>
              <w:rPr>
                <w:rFonts w:hint="default" w:ascii="宋体" w:hAnsi="宋体" w:eastAsia="宋体" w:cs="宋体"/>
                <w:b/>
                <w:bCs/>
                <w:color w:val="auto"/>
                <w:sz w:val="21"/>
                <w:szCs w:val="21"/>
                <w:highlight w:val="none"/>
                <w:vertAlign w:val="baseline"/>
                <w:lang w:val="en-US" w:eastAsia="zh-CN"/>
              </w:rPr>
            </w:pPr>
            <w:r>
              <w:rPr>
                <w:rFonts w:hint="eastAsia" w:ascii="宋体" w:hAnsi="宋体" w:cs="宋体"/>
                <w:b/>
                <w:bCs/>
                <w:color w:val="auto"/>
                <w:sz w:val="21"/>
                <w:szCs w:val="21"/>
                <w:highlight w:val="none"/>
                <w:vertAlign w:val="baseline"/>
                <w:lang w:val="en-US" w:eastAsia="zh-CN"/>
              </w:rPr>
              <w:t>详细采购清单如下</w:t>
            </w:r>
          </w:p>
        </w:tc>
      </w:tr>
    </w:tbl>
    <w:p w14:paraId="1CF997D2">
      <w:pPr>
        <w:keepNext w:val="0"/>
        <w:keepLines w:val="0"/>
        <w:pageBreakBefore w:val="0"/>
        <w:widowControl w:val="0"/>
        <w:numPr>
          <w:ilvl w:val="0"/>
          <w:numId w:val="0"/>
        </w:numPr>
        <w:kinsoku/>
        <w:wordWrap/>
        <w:overflowPunct/>
        <w:topLinePunct w:val="0"/>
        <w:autoSpaceDE/>
        <w:autoSpaceDN/>
        <w:bidi w:val="0"/>
        <w:adjustRightInd/>
        <w:spacing w:line="400" w:lineRule="exact"/>
        <w:textAlignment w:val="auto"/>
        <w:rPr>
          <w:rFonts w:hint="eastAsia" w:ascii="宋体" w:hAnsi="宋体" w:eastAsia="宋体" w:cs="宋体"/>
          <w:b/>
          <w:bCs/>
          <w:color w:val="auto"/>
          <w:kern w:val="2"/>
          <w:sz w:val="21"/>
          <w:szCs w:val="24"/>
          <w:highlight w:val="none"/>
          <w:lang w:val="en-US" w:eastAsia="zh-CN" w:bidi="ar-SA"/>
        </w:rPr>
      </w:pPr>
    </w:p>
    <w:p w14:paraId="0184F0FD">
      <w:pPr>
        <w:keepNext w:val="0"/>
        <w:keepLines w:val="0"/>
        <w:pageBreakBefore w:val="0"/>
        <w:widowControl w:val="0"/>
        <w:numPr>
          <w:ilvl w:val="0"/>
          <w:numId w:val="0"/>
        </w:numPr>
        <w:kinsoku/>
        <w:wordWrap/>
        <w:overflowPunct/>
        <w:topLinePunct w:val="0"/>
        <w:autoSpaceDE/>
        <w:autoSpaceDN/>
        <w:bidi w:val="0"/>
        <w:adjustRightInd/>
        <w:spacing w:line="400" w:lineRule="exact"/>
        <w:jc w:val="center"/>
        <w:textAlignment w:val="auto"/>
        <w:rPr>
          <w:rFonts w:hint="eastAsia" w:ascii="宋体" w:hAnsi="宋体" w:cs="宋体"/>
          <w:b/>
          <w:bCs/>
          <w:color w:val="auto"/>
          <w:kern w:val="2"/>
          <w:sz w:val="24"/>
          <w:szCs w:val="32"/>
          <w:highlight w:val="none"/>
          <w:lang w:val="en-US" w:eastAsia="zh-CN" w:bidi="ar-SA"/>
        </w:rPr>
      </w:pPr>
      <w:r>
        <w:rPr>
          <w:rFonts w:hint="eastAsia" w:ascii="宋体" w:hAnsi="宋体" w:cs="宋体"/>
          <w:b/>
          <w:bCs/>
          <w:color w:val="auto"/>
          <w:kern w:val="2"/>
          <w:sz w:val="24"/>
          <w:szCs w:val="32"/>
          <w:highlight w:val="none"/>
          <w:lang w:val="en-US" w:eastAsia="zh-CN" w:bidi="ar-SA"/>
        </w:rPr>
        <w:t>采购清单</w:t>
      </w:r>
    </w:p>
    <w:tbl>
      <w:tblPr>
        <w:tblStyle w:val="32"/>
        <w:tblpPr w:leftFromText="180" w:rightFromText="180" w:vertAnchor="text" w:horzAnchor="page" w:tblpX="1828" w:tblpY="10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
        <w:gridCol w:w="2639"/>
        <w:gridCol w:w="1150"/>
        <w:gridCol w:w="1065"/>
        <w:gridCol w:w="1247"/>
        <w:gridCol w:w="1422"/>
      </w:tblGrid>
      <w:tr w14:paraId="75275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shd w:val="clear" w:color="auto" w:fill="auto"/>
            <w:vAlign w:val="center"/>
          </w:tcPr>
          <w:p w14:paraId="4DB365E8">
            <w:pPr>
              <w:spacing w:line="400" w:lineRule="exact"/>
              <w:jc w:val="center"/>
              <w:rPr>
                <w:rFonts w:hint="eastAsia" w:ascii="黑体" w:hAnsi="黑体" w:eastAsia="黑体" w:cs="宋体"/>
                <w:color w:val="auto"/>
                <w:sz w:val="28"/>
                <w:szCs w:val="28"/>
                <w:highlight w:val="none"/>
              </w:rPr>
            </w:pPr>
            <w:r>
              <w:rPr>
                <w:rFonts w:hint="eastAsia" w:ascii="黑体" w:hAnsi="黑体" w:eastAsia="黑体" w:cs="宋体"/>
                <w:color w:val="auto"/>
                <w:sz w:val="28"/>
                <w:szCs w:val="28"/>
                <w:highlight w:val="none"/>
              </w:rPr>
              <w:t>序号</w:t>
            </w:r>
          </w:p>
        </w:tc>
        <w:tc>
          <w:tcPr>
            <w:tcW w:w="2639" w:type="dxa"/>
            <w:shd w:val="clear" w:color="auto" w:fill="auto"/>
            <w:vAlign w:val="center"/>
          </w:tcPr>
          <w:p w14:paraId="77C3E6F6">
            <w:pPr>
              <w:spacing w:line="400" w:lineRule="exact"/>
              <w:jc w:val="center"/>
              <w:rPr>
                <w:rFonts w:hint="eastAsia" w:ascii="黑体" w:hAnsi="黑体" w:eastAsia="黑体" w:cs="宋体"/>
                <w:color w:val="auto"/>
                <w:sz w:val="28"/>
                <w:szCs w:val="28"/>
                <w:highlight w:val="none"/>
              </w:rPr>
            </w:pPr>
            <w:r>
              <w:rPr>
                <w:rFonts w:hint="eastAsia" w:ascii="黑体" w:hAnsi="黑体" w:eastAsia="黑体" w:cs="宋体"/>
                <w:color w:val="auto"/>
                <w:sz w:val="28"/>
                <w:szCs w:val="28"/>
                <w:highlight w:val="none"/>
              </w:rPr>
              <w:t>名称</w:t>
            </w:r>
          </w:p>
        </w:tc>
        <w:tc>
          <w:tcPr>
            <w:tcW w:w="1150" w:type="dxa"/>
            <w:shd w:val="clear" w:color="auto" w:fill="auto"/>
            <w:vAlign w:val="center"/>
          </w:tcPr>
          <w:p w14:paraId="0BB51665">
            <w:pPr>
              <w:spacing w:line="400" w:lineRule="exact"/>
              <w:jc w:val="center"/>
              <w:rPr>
                <w:rFonts w:hint="eastAsia" w:ascii="黑体" w:hAnsi="黑体" w:eastAsia="黑体" w:cs="宋体"/>
                <w:color w:val="auto"/>
                <w:sz w:val="28"/>
                <w:szCs w:val="28"/>
                <w:highlight w:val="none"/>
              </w:rPr>
            </w:pPr>
            <w:r>
              <w:rPr>
                <w:rFonts w:hint="eastAsia" w:ascii="黑体" w:hAnsi="黑体" w:eastAsia="黑体" w:cs="宋体"/>
                <w:color w:val="auto"/>
                <w:sz w:val="28"/>
                <w:szCs w:val="28"/>
                <w:highlight w:val="none"/>
              </w:rPr>
              <w:t>数量</w:t>
            </w:r>
          </w:p>
        </w:tc>
        <w:tc>
          <w:tcPr>
            <w:tcW w:w="1065" w:type="dxa"/>
            <w:shd w:val="clear" w:color="auto" w:fill="auto"/>
            <w:vAlign w:val="center"/>
          </w:tcPr>
          <w:p w14:paraId="2AB156CC">
            <w:pPr>
              <w:spacing w:line="400" w:lineRule="exact"/>
              <w:jc w:val="center"/>
              <w:rPr>
                <w:rFonts w:hint="eastAsia" w:ascii="黑体" w:hAnsi="黑体" w:eastAsia="黑体" w:cs="宋体"/>
                <w:color w:val="auto"/>
                <w:sz w:val="28"/>
                <w:szCs w:val="28"/>
                <w:highlight w:val="none"/>
              </w:rPr>
            </w:pPr>
            <w:r>
              <w:rPr>
                <w:rFonts w:hint="eastAsia" w:ascii="黑体" w:hAnsi="黑体" w:eastAsia="黑体" w:cs="宋体"/>
                <w:color w:val="auto"/>
                <w:sz w:val="28"/>
                <w:szCs w:val="28"/>
                <w:highlight w:val="none"/>
              </w:rPr>
              <w:t>单位</w:t>
            </w:r>
          </w:p>
        </w:tc>
        <w:tc>
          <w:tcPr>
            <w:tcW w:w="1247" w:type="dxa"/>
            <w:shd w:val="clear" w:color="auto" w:fill="auto"/>
            <w:vAlign w:val="center"/>
          </w:tcPr>
          <w:p w14:paraId="53A106F7">
            <w:pPr>
              <w:spacing w:line="400" w:lineRule="exact"/>
              <w:jc w:val="center"/>
              <w:rPr>
                <w:rFonts w:hint="eastAsia" w:ascii="黑体" w:hAnsi="黑体" w:eastAsia="黑体" w:cs="宋体"/>
                <w:color w:val="auto"/>
                <w:sz w:val="28"/>
                <w:szCs w:val="28"/>
                <w:highlight w:val="none"/>
              </w:rPr>
            </w:pPr>
            <w:r>
              <w:rPr>
                <w:rFonts w:hint="eastAsia" w:ascii="黑体" w:hAnsi="黑体" w:eastAsia="黑体" w:cs="宋体"/>
                <w:color w:val="auto"/>
                <w:sz w:val="28"/>
                <w:szCs w:val="28"/>
                <w:highlight w:val="none"/>
              </w:rPr>
              <w:t>单价（元）</w:t>
            </w:r>
          </w:p>
        </w:tc>
        <w:tc>
          <w:tcPr>
            <w:tcW w:w="1422" w:type="dxa"/>
            <w:shd w:val="clear" w:color="auto" w:fill="auto"/>
            <w:vAlign w:val="center"/>
          </w:tcPr>
          <w:p w14:paraId="1DD9FCA3">
            <w:pPr>
              <w:spacing w:line="400" w:lineRule="exact"/>
              <w:jc w:val="center"/>
              <w:rPr>
                <w:rFonts w:hint="eastAsia" w:ascii="黑体" w:hAnsi="黑体" w:eastAsia="黑体" w:cs="宋体"/>
                <w:color w:val="auto"/>
                <w:sz w:val="28"/>
                <w:szCs w:val="28"/>
                <w:highlight w:val="none"/>
              </w:rPr>
            </w:pPr>
            <w:r>
              <w:rPr>
                <w:rFonts w:hint="eastAsia" w:ascii="黑体" w:hAnsi="黑体" w:eastAsia="黑体" w:cs="宋体"/>
                <w:color w:val="auto"/>
                <w:sz w:val="28"/>
                <w:szCs w:val="28"/>
                <w:highlight w:val="none"/>
              </w:rPr>
              <w:t>总价（元）</w:t>
            </w:r>
          </w:p>
        </w:tc>
      </w:tr>
      <w:tr w14:paraId="0149D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shd w:val="clear" w:color="auto" w:fill="auto"/>
            <w:vAlign w:val="center"/>
          </w:tcPr>
          <w:p w14:paraId="11CE037B">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2639" w:type="dxa"/>
            <w:shd w:val="clear" w:color="auto" w:fill="auto"/>
            <w:vAlign w:val="center"/>
          </w:tcPr>
          <w:p w14:paraId="1D936357">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应急照明集中电源用阀控密封免维护铅酸蓄电池</w:t>
            </w:r>
          </w:p>
        </w:tc>
        <w:tc>
          <w:tcPr>
            <w:tcW w:w="1150" w:type="dxa"/>
            <w:shd w:val="clear" w:color="auto" w:fill="auto"/>
            <w:vAlign w:val="center"/>
          </w:tcPr>
          <w:p w14:paraId="30DF8D5C">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60</w:t>
            </w:r>
          </w:p>
        </w:tc>
        <w:tc>
          <w:tcPr>
            <w:tcW w:w="1065" w:type="dxa"/>
            <w:shd w:val="clear" w:color="auto" w:fill="auto"/>
            <w:vAlign w:val="center"/>
          </w:tcPr>
          <w:p w14:paraId="44136DB4">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块</w:t>
            </w:r>
          </w:p>
        </w:tc>
        <w:tc>
          <w:tcPr>
            <w:tcW w:w="1247" w:type="dxa"/>
            <w:shd w:val="clear" w:color="auto" w:fill="auto"/>
            <w:vAlign w:val="center"/>
          </w:tcPr>
          <w:p w14:paraId="0554DA0C">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1480</w:t>
            </w:r>
          </w:p>
        </w:tc>
        <w:tc>
          <w:tcPr>
            <w:tcW w:w="1422" w:type="dxa"/>
            <w:shd w:val="clear" w:color="auto" w:fill="auto"/>
            <w:vAlign w:val="center"/>
          </w:tcPr>
          <w:p w14:paraId="73FC9368">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88800</w:t>
            </w:r>
          </w:p>
        </w:tc>
      </w:tr>
      <w:tr w14:paraId="07027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shd w:val="clear" w:color="auto" w:fill="auto"/>
            <w:vAlign w:val="center"/>
          </w:tcPr>
          <w:p w14:paraId="27DA27F8">
            <w:pPr>
              <w:spacing w:line="6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2639" w:type="dxa"/>
            <w:shd w:val="clear" w:color="auto" w:fill="auto"/>
            <w:vAlign w:val="center"/>
          </w:tcPr>
          <w:p w14:paraId="28BAA378">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应急照明集中电源用阀控密封免维护铅酸蓄电池</w:t>
            </w:r>
          </w:p>
        </w:tc>
        <w:tc>
          <w:tcPr>
            <w:tcW w:w="1150" w:type="dxa"/>
            <w:shd w:val="clear" w:color="auto" w:fill="auto"/>
            <w:vAlign w:val="center"/>
          </w:tcPr>
          <w:p w14:paraId="17B71E71">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34</w:t>
            </w:r>
          </w:p>
        </w:tc>
        <w:tc>
          <w:tcPr>
            <w:tcW w:w="1065" w:type="dxa"/>
            <w:shd w:val="clear" w:color="auto" w:fill="auto"/>
            <w:vAlign w:val="center"/>
          </w:tcPr>
          <w:p w14:paraId="2F04E07D">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块</w:t>
            </w:r>
          </w:p>
        </w:tc>
        <w:tc>
          <w:tcPr>
            <w:tcW w:w="1247" w:type="dxa"/>
            <w:shd w:val="clear" w:color="auto" w:fill="auto"/>
            <w:vAlign w:val="center"/>
          </w:tcPr>
          <w:p w14:paraId="063772B3">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1280</w:t>
            </w:r>
          </w:p>
        </w:tc>
        <w:tc>
          <w:tcPr>
            <w:tcW w:w="1422" w:type="dxa"/>
            <w:shd w:val="clear" w:color="auto" w:fill="auto"/>
            <w:vAlign w:val="center"/>
          </w:tcPr>
          <w:p w14:paraId="768DDD13">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43520</w:t>
            </w:r>
          </w:p>
        </w:tc>
      </w:tr>
      <w:tr w14:paraId="6AB65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shd w:val="clear" w:color="auto" w:fill="auto"/>
            <w:vAlign w:val="center"/>
          </w:tcPr>
          <w:p w14:paraId="7085A548">
            <w:pPr>
              <w:spacing w:line="6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p>
        </w:tc>
        <w:tc>
          <w:tcPr>
            <w:tcW w:w="2639" w:type="dxa"/>
            <w:shd w:val="clear" w:color="auto" w:fill="auto"/>
            <w:vAlign w:val="center"/>
          </w:tcPr>
          <w:p w14:paraId="550E485C">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集中电源照明灯具</w:t>
            </w:r>
          </w:p>
        </w:tc>
        <w:tc>
          <w:tcPr>
            <w:tcW w:w="1150" w:type="dxa"/>
            <w:shd w:val="clear" w:color="auto" w:fill="auto"/>
            <w:vAlign w:val="center"/>
          </w:tcPr>
          <w:p w14:paraId="7401E172">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97</w:t>
            </w:r>
          </w:p>
        </w:tc>
        <w:tc>
          <w:tcPr>
            <w:tcW w:w="1065" w:type="dxa"/>
            <w:shd w:val="clear" w:color="auto" w:fill="auto"/>
            <w:vAlign w:val="center"/>
          </w:tcPr>
          <w:p w14:paraId="6F76C261">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个</w:t>
            </w:r>
          </w:p>
        </w:tc>
        <w:tc>
          <w:tcPr>
            <w:tcW w:w="1247" w:type="dxa"/>
            <w:shd w:val="clear" w:color="auto" w:fill="auto"/>
            <w:vAlign w:val="center"/>
          </w:tcPr>
          <w:p w14:paraId="65C7AE08">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65</w:t>
            </w:r>
          </w:p>
        </w:tc>
        <w:tc>
          <w:tcPr>
            <w:tcW w:w="1422" w:type="dxa"/>
            <w:shd w:val="clear" w:color="auto" w:fill="auto"/>
            <w:vAlign w:val="center"/>
          </w:tcPr>
          <w:p w14:paraId="6F665E89">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6305</w:t>
            </w:r>
          </w:p>
        </w:tc>
      </w:tr>
      <w:tr w14:paraId="7512E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shd w:val="clear" w:color="auto" w:fill="auto"/>
            <w:vAlign w:val="center"/>
          </w:tcPr>
          <w:p w14:paraId="1DC9E618">
            <w:pPr>
              <w:spacing w:line="6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w:t>
            </w:r>
          </w:p>
        </w:tc>
        <w:tc>
          <w:tcPr>
            <w:tcW w:w="2639" w:type="dxa"/>
            <w:shd w:val="clear" w:color="auto" w:fill="auto"/>
            <w:vAlign w:val="center"/>
          </w:tcPr>
          <w:p w14:paraId="404A37B1">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集中电源照明灯具</w:t>
            </w:r>
          </w:p>
        </w:tc>
        <w:tc>
          <w:tcPr>
            <w:tcW w:w="1150" w:type="dxa"/>
            <w:shd w:val="clear" w:color="auto" w:fill="auto"/>
            <w:vAlign w:val="center"/>
          </w:tcPr>
          <w:p w14:paraId="0847223F">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178</w:t>
            </w:r>
          </w:p>
        </w:tc>
        <w:tc>
          <w:tcPr>
            <w:tcW w:w="1065" w:type="dxa"/>
            <w:shd w:val="clear" w:color="auto" w:fill="auto"/>
            <w:vAlign w:val="center"/>
          </w:tcPr>
          <w:p w14:paraId="1E3CE96B">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个</w:t>
            </w:r>
          </w:p>
        </w:tc>
        <w:tc>
          <w:tcPr>
            <w:tcW w:w="1247" w:type="dxa"/>
            <w:shd w:val="clear" w:color="auto" w:fill="auto"/>
            <w:vAlign w:val="center"/>
          </w:tcPr>
          <w:p w14:paraId="45CE6520">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56</w:t>
            </w:r>
          </w:p>
        </w:tc>
        <w:tc>
          <w:tcPr>
            <w:tcW w:w="1422" w:type="dxa"/>
            <w:shd w:val="clear" w:color="auto" w:fill="auto"/>
            <w:vAlign w:val="center"/>
          </w:tcPr>
          <w:p w14:paraId="0A7BE6E9">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9968</w:t>
            </w:r>
          </w:p>
        </w:tc>
      </w:tr>
      <w:tr w14:paraId="01211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shd w:val="clear" w:color="auto" w:fill="auto"/>
            <w:vAlign w:val="center"/>
          </w:tcPr>
          <w:p w14:paraId="3F6B0941">
            <w:pPr>
              <w:spacing w:line="6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p>
        </w:tc>
        <w:tc>
          <w:tcPr>
            <w:tcW w:w="2639" w:type="dxa"/>
            <w:shd w:val="clear" w:color="auto" w:fill="auto"/>
            <w:vAlign w:val="center"/>
          </w:tcPr>
          <w:p w14:paraId="27DC6D1E">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集中电源照明灯具</w:t>
            </w:r>
          </w:p>
        </w:tc>
        <w:tc>
          <w:tcPr>
            <w:tcW w:w="1150" w:type="dxa"/>
            <w:shd w:val="clear" w:color="auto" w:fill="auto"/>
            <w:vAlign w:val="center"/>
          </w:tcPr>
          <w:p w14:paraId="68123392">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w:t>
            </w:r>
          </w:p>
        </w:tc>
        <w:tc>
          <w:tcPr>
            <w:tcW w:w="1065" w:type="dxa"/>
            <w:shd w:val="clear" w:color="auto" w:fill="auto"/>
            <w:vAlign w:val="center"/>
          </w:tcPr>
          <w:p w14:paraId="42E29052">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个</w:t>
            </w:r>
          </w:p>
        </w:tc>
        <w:tc>
          <w:tcPr>
            <w:tcW w:w="1247" w:type="dxa"/>
            <w:shd w:val="clear" w:color="auto" w:fill="auto"/>
            <w:vAlign w:val="center"/>
          </w:tcPr>
          <w:p w14:paraId="2D4C6ABE">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w:t>
            </w:r>
          </w:p>
        </w:tc>
        <w:tc>
          <w:tcPr>
            <w:tcW w:w="1422" w:type="dxa"/>
            <w:shd w:val="clear" w:color="auto" w:fill="auto"/>
            <w:vAlign w:val="center"/>
          </w:tcPr>
          <w:p w14:paraId="28EDCD98">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1440</w:t>
            </w:r>
          </w:p>
        </w:tc>
      </w:tr>
    </w:tbl>
    <w:p w14:paraId="55267ADB">
      <w:pPr>
        <w:keepNext w:val="0"/>
        <w:keepLines w:val="0"/>
        <w:pageBreakBefore w:val="0"/>
        <w:widowControl w:val="0"/>
        <w:numPr>
          <w:ilvl w:val="0"/>
          <w:numId w:val="0"/>
        </w:numPr>
        <w:kinsoku/>
        <w:wordWrap/>
        <w:overflowPunct/>
        <w:topLinePunct w:val="0"/>
        <w:autoSpaceDE/>
        <w:autoSpaceDN/>
        <w:bidi w:val="0"/>
        <w:adjustRightInd/>
        <w:spacing w:line="400" w:lineRule="exact"/>
        <w:textAlignment w:val="auto"/>
        <w:rPr>
          <w:rFonts w:hint="eastAsia" w:ascii="宋体" w:hAnsi="宋体" w:cs="宋体"/>
          <w:b/>
          <w:bCs/>
          <w:color w:val="auto"/>
          <w:kern w:val="2"/>
          <w:sz w:val="21"/>
          <w:szCs w:val="24"/>
          <w:highlight w:val="none"/>
          <w:lang w:val="en-US" w:eastAsia="zh-CN" w:bidi="ar-SA"/>
        </w:rPr>
      </w:pPr>
    </w:p>
    <w:p w14:paraId="10E84755">
      <w:pPr>
        <w:keepNext w:val="0"/>
        <w:keepLines w:val="0"/>
        <w:pageBreakBefore w:val="0"/>
        <w:widowControl w:val="0"/>
        <w:numPr>
          <w:ilvl w:val="0"/>
          <w:numId w:val="0"/>
        </w:numPr>
        <w:kinsoku/>
        <w:wordWrap/>
        <w:overflowPunct/>
        <w:topLinePunct w:val="0"/>
        <w:autoSpaceDE/>
        <w:autoSpaceDN/>
        <w:bidi w:val="0"/>
        <w:adjustRightInd/>
        <w:spacing w:line="400" w:lineRule="exact"/>
        <w:textAlignment w:val="auto"/>
        <w:rPr>
          <w:rFonts w:hint="eastAsia" w:ascii="宋体" w:hAnsi="宋体" w:eastAsia="宋体" w:cs="宋体"/>
          <w:b/>
          <w:bCs/>
          <w:color w:val="auto"/>
          <w:kern w:val="2"/>
          <w:sz w:val="21"/>
          <w:szCs w:val="24"/>
          <w:highlight w:val="none"/>
          <w:lang w:val="en-US" w:eastAsia="zh-CN" w:bidi="ar-SA"/>
        </w:rPr>
      </w:pPr>
      <w:r>
        <w:rPr>
          <w:rFonts w:hint="eastAsia" w:ascii="宋体" w:hAnsi="宋体" w:cs="宋体"/>
          <w:b/>
          <w:bCs/>
          <w:color w:val="auto"/>
          <w:kern w:val="2"/>
          <w:sz w:val="21"/>
          <w:szCs w:val="24"/>
          <w:highlight w:val="none"/>
          <w:lang w:val="en-US" w:eastAsia="zh-CN" w:bidi="ar-SA"/>
        </w:rPr>
        <w:t>四、</w:t>
      </w:r>
      <w:r>
        <w:rPr>
          <w:rFonts w:hint="eastAsia" w:ascii="宋体" w:hAnsi="宋体" w:eastAsia="宋体" w:cs="宋体"/>
          <w:b/>
          <w:bCs/>
          <w:color w:val="auto"/>
          <w:kern w:val="2"/>
          <w:sz w:val="21"/>
          <w:szCs w:val="24"/>
          <w:highlight w:val="none"/>
          <w:lang w:val="en-US" w:eastAsia="zh-CN" w:bidi="ar-SA"/>
        </w:rPr>
        <w:t>技术要求：</w:t>
      </w:r>
    </w:p>
    <w:p w14:paraId="1F092412">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1.主要依据</w:t>
      </w:r>
    </w:p>
    <w:p w14:paraId="1ECAF761">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《建筑防火通用规范》  GB55037-2022</w:t>
      </w:r>
    </w:p>
    <w:p w14:paraId="6A1B7CFA">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《消防设施通用规范》  GB55036-2022</w:t>
      </w:r>
    </w:p>
    <w:p w14:paraId="69B9D81B">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《消防应急照明和疏散指示系统技术标准》  GB51309-2018</w:t>
      </w:r>
    </w:p>
    <w:p w14:paraId="573C78F0">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《消防应急照明和疏散指示系统》  GB17945-2024</w:t>
      </w:r>
    </w:p>
    <w:p w14:paraId="7B2214F4">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0"/>
          <w:sz w:val="21"/>
          <w:szCs w:val="21"/>
          <w:highlight w:val="none"/>
          <w:shd w:val="clear" w:color="auto" w:fill="FFFFFF"/>
          <w:lang w:val="en-US" w:eastAsia="zh-CN" w:bidi="ar-SA"/>
        </w:rPr>
        <w:t>2.</w:t>
      </w:r>
      <w:r>
        <w:rPr>
          <w:rFonts w:hint="eastAsia" w:ascii="宋体" w:hAnsi="宋体" w:eastAsia="宋体" w:cs="宋体"/>
          <w:color w:val="auto"/>
          <w:kern w:val="0"/>
          <w:sz w:val="21"/>
          <w:szCs w:val="21"/>
          <w:highlight w:val="none"/>
          <w:shd w:val="clear" w:color="auto" w:fill="FFFFFF"/>
          <w:lang w:val="en-US" w:eastAsia="zh-CN" w:bidi="ar-SA"/>
        </w:rPr>
        <w:t>设备、材料要求</w:t>
      </w:r>
    </w:p>
    <w:p w14:paraId="327DA83A">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（1）主要材料、设备购置前必须得到采购人认可，共同确认材料设备的型号、规格、质量与采购清单一致后方可进场安装。</w:t>
      </w:r>
    </w:p>
    <w:p w14:paraId="5D160AAD">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（2）购置的设备、材料需满足政府相关主管部门与医院要求，并提供合格证、检测报告，其规格、标准、质量须符合采购要求并与现场设备兼容。</w:t>
      </w:r>
    </w:p>
    <w:p w14:paraId="734791A1">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（3）严禁偷工减料、粗制滥造，严禁使用不合格材料。</w:t>
      </w:r>
    </w:p>
    <w:p w14:paraId="1963E169">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（4）每块电池上必须有清晰、永久性的标识，至少包含：制造商名称或商标、型号、标称电压、标称容量(C10)、生产日期或批号、极性标识、符合的标准、安全警示、回收标识。</w:t>
      </w:r>
    </w:p>
    <w:p w14:paraId="0E402F33">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0"/>
          <w:sz w:val="21"/>
          <w:szCs w:val="21"/>
          <w:highlight w:val="none"/>
          <w:shd w:val="clear" w:color="auto" w:fill="FFFFFF"/>
          <w:lang w:val="en-US" w:eastAsia="zh-CN" w:bidi="ar-SA"/>
        </w:rPr>
        <w:t>3.</w:t>
      </w:r>
      <w:r>
        <w:rPr>
          <w:rFonts w:hint="eastAsia" w:ascii="宋体" w:hAnsi="宋体" w:eastAsia="宋体" w:cs="宋体"/>
          <w:color w:val="auto"/>
          <w:kern w:val="0"/>
          <w:sz w:val="21"/>
          <w:szCs w:val="21"/>
          <w:highlight w:val="none"/>
          <w:shd w:val="clear" w:color="auto" w:fill="FFFFFF"/>
          <w:lang w:val="en-US" w:eastAsia="zh-CN" w:bidi="ar-SA"/>
        </w:rPr>
        <w:t>包装与运输</w:t>
      </w:r>
    </w:p>
    <w:p w14:paraId="41A3FCDE">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（1）供应商负责安全包装并承担运输风险（直至在指定交货地点完成卸货）。</w:t>
      </w:r>
    </w:p>
    <w:p w14:paraId="6C6096D4">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（2）运输方式由供应商选择，但需确保按时、安全送达。电池属于危险品（第8类腐蚀品，UN 2800），运输必须符合国家《道路危险货物运输管理规定》等相关法规，供应商需具备相应资质或委托有资质的物流公司承运。</w:t>
      </w:r>
    </w:p>
    <w:p w14:paraId="20216FCE">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（3）包装采用坚固的纸箱或木箱包装，内部有适当缓冲材料，确保运输安全。包装箱外需清晰标明产品信息、数量、重量、防潮防震标识、堆码层数限制等。每箱数量应便于清点和搬运（如1块/箱或2块/箱）。</w:t>
      </w:r>
    </w:p>
    <w:p w14:paraId="7B2A75C5">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0"/>
          <w:sz w:val="21"/>
          <w:szCs w:val="21"/>
          <w:highlight w:val="none"/>
          <w:shd w:val="clear" w:color="auto" w:fill="FFFFFF"/>
          <w:lang w:val="en-US" w:eastAsia="zh-CN" w:bidi="ar-SA"/>
        </w:rPr>
        <w:t>4.</w:t>
      </w:r>
      <w:r>
        <w:rPr>
          <w:rFonts w:hint="eastAsia" w:ascii="宋体" w:hAnsi="宋体" w:eastAsia="宋体" w:cs="宋体"/>
          <w:color w:val="auto"/>
          <w:kern w:val="0"/>
          <w:sz w:val="21"/>
          <w:szCs w:val="21"/>
          <w:highlight w:val="none"/>
          <w:shd w:val="clear" w:color="auto" w:fill="FFFFFF"/>
          <w:lang w:val="en-US" w:eastAsia="zh-CN" w:bidi="ar-SA"/>
        </w:rPr>
        <w:t>安装质量要求</w:t>
      </w:r>
    </w:p>
    <w:p w14:paraId="12A7D7B8">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（1）应急疏散灯具安装要求</w:t>
      </w:r>
    </w:p>
    <w:p w14:paraId="3CB76D51">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1.1）进场应急疏散灯具应根据设计图纸的要求，对型号、数量、规格、品种、外观等进行检查，并提供国家消防产品，质量监督检测等有效的检测检验合格报告，及其它有关安装接线要求的资料，报采购方审查备案。</w:t>
      </w:r>
    </w:p>
    <w:p w14:paraId="6F4961EF">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（1.2）灯具的安装一般要求：</w:t>
      </w:r>
    </w:p>
    <w:p w14:paraId="232A47B3">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A、灯具应固定安装在不燃性墙体或不燃性装修材料上，不应安装在门、窗或其他可移动的物体上。</w:t>
      </w:r>
    </w:p>
    <w:p w14:paraId="2D7AC886">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B、灯具安装后不应对人员正常通行产生影响，灯具周围应无遮挡物，并应保证灯具上的各种状态指示灯易于观察。</w:t>
      </w:r>
    </w:p>
    <w:p w14:paraId="70BC48F5">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（1.3）灯具在顶棚、疏散走道或通道的上方安装时，应符合下列规定：</w:t>
      </w:r>
    </w:p>
    <w:p w14:paraId="3237B23C">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A、照明灯可采用嵌顶、吸顶和吊装式安装。</w:t>
      </w:r>
    </w:p>
    <w:p w14:paraId="6B5BCFE8">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B、标志灯可采用吸顶和吊装式安装；室内高度大于3.5m的场所，特大型、大型、中型标志灯宜采用吊装式安装。</w:t>
      </w:r>
    </w:p>
    <w:p w14:paraId="3394C0A0">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C、灯具采用吊装式安装时，应采用金属吊杆或吊链，吊杆或吊链上端应固定在建筑构件上。</w:t>
      </w:r>
    </w:p>
    <w:p w14:paraId="4C886D7C">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（1.4）灯具在侧面墙或柱上安装时，应符合下列规定：</w:t>
      </w:r>
    </w:p>
    <w:p w14:paraId="10F60F11">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A、可采用壁挂式或嵌入式安装；</w:t>
      </w:r>
    </w:p>
    <w:p w14:paraId="66292A08">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B、安装高度距地面不大于1m时，灯具表面凸出墙面或柱面的部分不应有尖锐角、毛刺等突出物，凸出墙面或柱面最大水平距离不应超过20mm。</w:t>
      </w:r>
    </w:p>
    <w:p w14:paraId="2FC5E363">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 照明灯具的安装</w:t>
      </w:r>
    </w:p>
    <w:p w14:paraId="1D8AA8BE">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（2.1）照明灯宜安装在顶棚上。</w:t>
      </w:r>
    </w:p>
    <w:p w14:paraId="625C064B">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（2.2）当条件限制时，照明灯可安装在走道侧面墙上，并应符合下列规定：</w:t>
      </w:r>
    </w:p>
    <w:p w14:paraId="18F0392D">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A、安装高度不应在距地面1m～2m之间；</w:t>
      </w:r>
    </w:p>
    <w:p w14:paraId="03E1029E">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B、在距地面1m以下侧面墙上安装时，应保证光线照射在灯具的水平线以下。</w:t>
      </w:r>
    </w:p>
    <w:p w14:paraId="7BA0AEA9">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（2.3）照明灯不应安装在地面上。</w:t>
      </w:r>
    </w:p>
    <w:p w14:paraId="09024464">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（3）标志灯安装</w:t>
      </w:r>
    </w:p>
    <w:p w14:paraId="6FA170AA">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（3.1）标志灯的标志面宜与疏散方向垂直。</w:t>
      </w:r>
    </w:p>
    <w:p w14:paraId="1BDB7D77">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（3.2）出口标志灯的安装应符合下列规定：</w:t>
      </w:r>
    </w:p>
    <w:p w14:paraId="3DB9B42B">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A、应安装在安全出口或疏散门内侧上方居中的位置；受安装条件限制标志灯无法安装在门框上侧时，可安装在门的两侧，但门完全开启时标志灯不能被遮挡。</w:t>
      </w:r>
    </w:p>
    <w:p w14:paraId="298428E1">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B、室内高度不大于3.5m的场所，标志灯底边离门框距离不应大于200mm；室内高度大于3.5m的场所，特大型、大型、中型标志灯底边距地面高度不宜小于3m，且不宜大于6m。</w:t>
      </w:r>
    </w:p>
    <w:p w14:paraId="6DE2843E">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C、采用吸顶或吊装式安装时，标志灯距安全出口或疏散门所在墙面的距离不宜大于50mm。</w:t>
      </w:r>
    </w:p>
    <w:p w14:paraId="7563F9E6">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(3)应急照明电源(蓄电池）的安装</w:t>
      </w:r>
    </w:p>
    <w:p w14:paraId="4C3D50DC">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 xml:space="preserve"> （3.1）应急照明的蓄电池（组），需进行现场安装时，应核对蓄电池（组）的规格、型号、容量，并应与原设备兼容，蓄电池（组）的安装应符合产品使用说明书的要求。</w:t>
      </w:r>
    </w:p>
    <w:p w14:paraId="66288226">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（3.2）集中电源的前部和后部应适当留出更换蓄电池（组）的作业空间。</w:t>
      </w:r>
    </w:p>
    <w:p w14:paraId="5B79C66D">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0"/>
          <w:sz w:val="21"/>
          <w:szCs w:val="21"/>
          <w:highlight w:val="none"/>
          <w:shd w:val="clear" w:color="auto" w:fill="FFFFFF"/>
          <w:lang w:val="en-US" w:eastAsia="zh-CN" w:bidi="ar-SA"/>
        </w:rPr>
        <w:t>5.</w:t>
      </w:r>
      <w:r>
        <w:rPr>
          <w:rFonts w:hint="eastAsia" w:ascii="宋体" w:hAnsi="宋体" w:eastAsia="宋体" w:cs="宋体"/>
          <w:color w:val="auto"/>
          <w:kern w:val="0"/>
          <w:sz w:val="21"/>
          <w:szCs w:val="21"/>
          <w:highlight w:val="none"/>
          <w:shd w:val="clear" w:color="auto" w:fill="FFFFFF"/>
          <w:lang w:val="en-US" w:eastAsia="zh-CN" w:bidi="ar-SA"/>
        </w:rPr>
        <w:t>人员要求</w:t>
      </w:r>
    </w:p>
    <w:p w14:paraId="65F6BBEE">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（1）为了保证系统的安装、调试及运行，供应商应派足够的技术人员到现场进行技术服务。</w:t>
      </w:r>
    </w:p>
    <w:p w14:paraId="78E644E3">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（2）安装单位应委派有经验、有能力、合格的专业工程师到现场服务，履行承包人责任，负责工程所有设备的安装、调试和验收工作。</w:t>
      </w:r>
    </w:p>
    <w:p w14:paraId="46B40097">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（3）安装单位的现场工程师应对所有安装工作的正确性负责。</w:t>
      </w:r>
    </w:p>
    <w:p w14:paraId="63F3C039">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0"/>
          <w:sz w:val="21"/>
          <w:szCs w:val="21"/>
          <w:highlight w:val="none"/>
          <w:shd w:val="clear" w:color="auto" w:fill="FFFFFF"/>
          <w:lang w:val="en-US" w:eastAsia="zh-CN" w:bidi="ar-SA"/>
        </w:rPr>
        <w:t>6.</w:t>
      </w:r>
      <w:r>
        <w:rPr>
          <w:rFonts w:hint="eastAsia" w:ascii="宋体" w:hAnsi="宋体" w:eastAsia="宋体" w:cs="宋体"/>
          <w:color w:val="auto"/>
          <w:kern w:val="0"/>
          <w:sz w:val="21"/>
          <w:szCs w:val="21"/>
          <w:highlight w:val="none"/>
          <w:shd w:val="clear" w:color="auto" w:fill="FFFFFF"/>
          <w:lang w:val="en-US" w:eastAsia="zh-CN" w:bidi="ar-SA"/>
        </w:rPr>
        <w:t>安全要求</w:t>
      </w:r>
    </w:p>
    <w:p w14:paraId="0C315E70">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所有施工人员必须经过岗前安全培训教育和安全交底后才可开始工作，所有安装人员必须按规定佩戴防护用具，遵守操作规程和采购人安全管理制度，确保安全。</w:t>
      </w:r>
    </w:p>
    <w:p w14:paraId="1A2C239B">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7.供应商提供的配件、材料为全新、未使用、原厂包装完好，附带所有必要的文件（合格证、出厂测试报告、说明书等），符合国家相应标准。</w:t>
      </w:r>
    </w:p>
    <w:p w14:paraId="76081501">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cs="宋体"/>
          <w:color w:val="auto"/>
          <w:kern w:val="0"/>
          <w:sz w:val="21"/>
          <w:szCs w:val="21"/>
          <w:highlight w:val="none"/>
          <w:shd w:val="clear" w:color="auto" w:fill="FFFFFF"/>
          <w:lang w:val="en-US" w:eastAsia="zh-CN" w:bidi="ar-SA"/>
        </w:rPr>
        <w:t>8.采购清单技术要求：</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2912"/>
        <w:gridCol w:w="3309"/>
      </w:tblGrid>
      <w:tr w14:paraId="42901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854" w:type="dxa"/>
            <w:shd w:val="clear" w:color="auto" w:fill="auto"/>
            <w:vAlign w:val="center"/>
          </w:tcPr>
          <w:p w14:paraId="078E8F69">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2912" w:type="dxa"/>
            <w:shd w:val="clear" w:color="auto" w:fill="auto"/>
            <w:vAlign w:val="center"/>
          </w:tcPr>
          <w:p w14:paraId="5AEB53C7">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名称</w:t>
            </w:r>
          </w:p>
        </w:tc>
        <w:tc>
          <w:tcPr>
            <w:tcW w:w="3309" w:type="dxa"/>
            <w:shd w:val="clear" w:color="auto" w:fill="auto"/>
            <w:vAlign w:val="center"/>
          </w:tcPr>
          <w:p w14:paraId="5B6064DD">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规格参数</w:t>
            </w:r>
          </w:p>
        </w:tc>
      </w:tr>
      <w:tr w14:paraId="61947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jc w:val="center"/>
        </w:trPr>
        <w:tc>
          <w:tcPr>
            <w:tcW w:w="854" w:type="dxa"/>
            <w:shd w:val="clear" w:color="auto" w:fill="auto"/>
            <w:vAlign w:val="center"/>
          </w:tcPr>
          <w:p w14:paraId="69C19E07">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912" w:type="dxa"/>
            <w:shd w:val="clear" w:color="auto" w:fill="auto"/>
            <w:vAlign w:val="center"/>
          </w:tcPr>
          <w:p w14:paraId="717897FD">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应急照明集中电源用阀控密封免维护铅酸蓄电池</w:t>
            </w:r>
          </w:p>
        </w:tc>
        <w:tc>
          <w:tcPr>
            <w:tcW w:w="3309" w:type="dxa"/>
            <w:shd w:val="clear" w:color="auto" w:fill="auto"/>
            <w:vAlign w:val="center"/>
          </w:tcPr>
          <w:p w14:paraId="65B5288B">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输出电压：12V</w:t>
            </w:r>
          </w:p>
          <w:p w14:paraId="70A8A742">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容量（AH）：120</w:t>
            </w:r>
          </w:p>
          <w:p w14:paraId="07B3B574">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工作温度：0-40℃</w:t>
            </w:r>
          </w:p>
          <w:p w14:paraId="65B8850C">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产品尺寸(cm)：41*17*21</w:t>
            </w:r>
          </w:p>
        </w:tc>
      </w:tr>
      <w:tr w14:paraId="7A92B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jc w:val="center"/>
        </w:trPr>
        <w:tc>
          <w:tcPr>
            <w:tcW w:w="854" w:type="dxa"/>
            <w:shd w:val="clear" w:color="auto" w:fill="auto"/>
            <w:vAlign w:val="center"/>
          </w:tcPr>
          <w:p w14:paraId="725DE04A">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912" w:type="dxa"/>
            <w:shd w:val="clear" w:color="auto" w:fill="auto"/>
            <w:vAlign w:val="center"/>
          </w:tcPr>
          <w:p w14:paraId="43D5EFEF">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应急照明集中电源用阀控密封免维护铅酸蓄电池</w:t>
            </w:r>
          </w:p>
        </w:tc>
        <w:tc>
          <w:tcPr>
            <w:tcW w:w="3309" w:type="dxa"/>
            <w:shd w:val="clear" w:color="auto" w:fill="auto"/>
            <w:vAlign w:val="center"/>
          </w:tcPr>
          <w:p w14:paraId="3CEC9ED4">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输出电压：12V</w:t>
            </w:r>
          </w:p>
          <w:p w14:paraId="30720FF1">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容量（AH）：80</w:t>
            </w:r>
          </w:p>
          <w:p w14:paraId="2AA46A4F">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工作温度：0-40℃</w:t>
            </w:r>
          </w:p>
          <w:p w14:paraId="66D03EAB">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产品尺寸(cm)：26*17*21</w:t>
            </w:r>
          </w:p>
        </w:tc>
      </w:tr>
      <w:tr w14:paraId="71156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jc w:val="center"/>
        </w:trPr>
        <w:tc>
          <w:tcPr>
            <w:tcW w:w="854" w:type="dxa"/>
            <w:shd w:val="clear" w:color="auto" w:fill="auto"/>
            <w:vAlign w:val="center"/>
          </w:tcPr>
          <w:p w14:paraId="2FE488D0">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912" w:type="dxa"/>
            <w:shd w:val="clear" w:color="auto" w:fill="auto"/>
            <w:vAlign w:val="center"/>
          </w:tcPr>
          <w:p w14:paraId="29804ACA">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集中电源照明灯具</w:t>
            </w:r>
          </w:p>
        </w:tc>
        <w:tc>
          <w:tcPr>
            <w:tcW w:w="3309" w:type="dxa"/>
            <w:shd w:val="clear" w:color="auto" w:fill="auto"/>
            <w:vAlign w:val="center"/>
          </w:tcPr>
          <w:p w14:paraId="53F1AED7">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安装方式：吸顶明装</w:t>
            </w:r>
          </w:p>
          <w:p w14:paraId="718C6DC8">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电压：220V 功率：5W</w:t>
            </w:r>
          </w:p>
          <w:p w14:paraId="462BAFDF">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exact"/>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直径：32CM</w:t>
            </w:r>
          </w:p>
          <w:p w14:paraId="230EB126">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灯体材质：阻燃材料</w:t>
            </w:r>
          </w:p>
        </w:tc>
      </w:tr>
      <w:tr w14:paraId="1C824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atLeast"/>
          <w:jc w:val="center"/>
        </w:trPr>
        <w:tc>
          <w:tcPr>
            <w:tcW w:w="854" w:type="dxa"/>
            <w:shd w:val="clear" w:color="auto" w:fill="auto"/>
            <w:vAlign w:val="center"/>
          </w:tcPr>
          <w:p w14:paraId="3494420F">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2912" w:type="dxa"/>
            <w:shd w:val="clear" w:color="auto" w:fill="auto"/>
            <w:vAlign w:val="center"/>
          </w:tcPr>
          <w:p w14:paraId="61ECDBE0">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集中电源照明灯具</w:t>
            </w:r>
          </w:p>
        </w:tc>
        <w:tc>
          <w:tcPr>
            <w:tcW w:w="3309" w:type="dxa"/>
            <w:shd w:val="clear" w:color="auto" w:fill="auto"/>
            <w:vAlign w:val="center"/>
          </w:tcPr>
          <w:p w14:paraId="41D40300">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安装方式：吊顶嵌入</w:t>
            </w:r>
          </w:p>
          <w:p w14:paraId="10C9B672">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电压：220V功率：5W</w:t>
            </w:r>
          </w:p>
          <w:p w14:paraId="12A55DE1">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exact"/>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直径：5寸</w:t>
            </w:r>
          </w:p>
          <w:p w14:paraId="5180E6C3">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灯体材质：阻燃材料</w:t>
            </w:r>
          </w:p>
        </w:tc>
      </w:tr>
      <w:tr w14:paraId="248D1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54" w:type="dxa"/>
            <w:shd w:val="clear" w:color="auto" w:fill="auto"/>
            <w:vAlign w:val="center"/>
          </w:tcPr>
          <w:p w14:paraId="00D6657F">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912" w:type="dxa"/>
            <w:shd w:val="clear" w:color="auto" w:fill="auto"/>
            <w:vAlign w:val="center"/>
          </w:tcPr>
          <w:p w14:paraId="2494AE0B">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集中电源照明灯具</w:t>
            </w:r>
          </w:p>
        </w:tc>
        <w:tc>
          <w:tcPr>
            <w:tcW w:w="3309" w:type="dxa"/>
            <w:shd w:val="clear" w:color="auto" w:fill="auto"/>
            <w:vAlign w:val="center"/>
          </w:tcPr>
          <w:p w14:paraId="49C4A8F0">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安装方式：壁挂安装</w:t>
            </w:r>
          </w:p>
          <w:p w14:paraId="0670B669">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电压：220V功率：5W</w:t>
            </w:r>
          </w:p>
          <w:p w14:paraId="01344610">
            <w:pPr>
              <w:keepNext w:val="0"/>
              <w:keepLines w:val="0"/>
              <w:pageBreakBefore w:val="0"/>
              <w:widowControl w:val="0"/>
              <w:kinsoku/>
              <w:wordWrap/>
              <w:overflowPunct/>
              <w:topLinePunct w:val="0"/>
              <w:autoSpaceDE/>
              <w:autoSpaceDN/>
              <w:bidi w:val="0"/>
              <w:adjustRightInd/>
              <w:snapToGrid/>
              <w:spacing w:beforeAutospacing="0" w:afterAutospacing="0" w:line="3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灯体材质：阻燃材料</w:t>
            </w:r>
          </w:p>
        </w:tc>
      </w:tr>
    </w:tbl>
    <w:p w14:paraId="006B5145">
      <w:pPr>
        <w:keepNext w:val="0"/>
        <w:keepLines w:val="0"/>
        <w:pageBreakBefore w:val="0"/>
        <w:widowControl w:val="0"/>
        <w:kinsoku/>
        <w:wordWrap/>
        <w:overflowPunct/>
        <w:topLinePunct w:val="0"/>
        <w:autoSpaceDE/>
        <w:autoSpaceDN/>
        <w:bidi w:val="0"/>
        <w:adjustRightInd/>
        <w:snapToGrid w:val="0"/>
        <w:spacing w:before="0" w:beforeAutospacing="0" w:after="0" w:afterAutospacing="0" w:line="400" w:lineRule="exact"/>
        <w:ind w:firstLine="420" w:firstLineChars="200"/>
        <w:jc w:val="left"/>
        <w:textAlignment w:val="auto"/>
        <w:rPr>
          <w:rFonts w:hint="eastAsia" w:ascii="宋体" w:hAnsi="宋体" w:eastAsia="宋体" w:cs="宋体"/>
          <w:color w:val="auto"/>
          <w:kern w:val="0"/>
          <w:sz w:val="21"/>
          <w:szCs w:val="21"/>
          <w:highlight w:val="none"/>
          <w:shd w:val="clear" w:color="auto" w:fill="FFFFFF"/>
          <w:lang w:val="en-US" w:eastAsia="zh-CN" w:bidi="ar-SA"/>
        </w:rPr>
      </w:pPr>
    </w:p>
    <w:p w14:paraId="1A20D686">
      <w:pPr>
        <w:keepNext w:val="0"/>
        <w:pageBreakBefore w:val="0"/>
        <w:widowControl w:val="0"/>
        <w:overflowPunct/>
        <w:topLinePunct w:val="0"/>
        <w:bidi w:val="0"/>
        <w:jc w:val="center"/>
        <w:rPr>
          <w:rFonts w:hint="eastAsia" w:ascii="宋体" w:hAnsi="宋体" w:eastAsia="宋体" w:cs="宋体"/>
          <w:b/>
          <w:bCs/>
          <w:color w:val="auto"/>
          <w:sz w:val="30"/>
          <w:szCs w:val="30"/>
          <w:highlight w:val="none"/>
        </w:rPr>
      </w:pPr>
    </w:p>
    <w:p w14:paraId="1B681D83">
      <w:pPr>
        <w:pStyle w:val="2"/>
        <w:rPr>
          <w:rFonts w:hint="eastAsia" w:ascii="宋体" w:hAnsi="宋体" w:eastAsia="宋体" w:cs="宋体"/>
          <w:b/>
          <w:bCs/>
          <w:color w:val="auto"/>
          <w:sz w:val="30"/>
          <w:szCs w:val="30"/>
          <w:highlight w:val="none"/>
        </w:rPr>
      </w:pPr>
    </w:p>
    <w:p w14:paraId="1F6B0150">
      <w:pPr>
        <w:rPr>
          <w:rFonts w:hint="eastAsia"/>
        </w:rPr>
      </w:pPr>
      <w:bookmarkStart w:id="101" w:name="_GoBack"/>
      <w:bookmarkEnd w:id="101"/>
    </w:p>
    <w:p w14:paraId="106ADFC5">
      <w:pPr>
        <w:keepNext w:val="0"/>
        <w:pageBreakBefore w:val="0"/>
        <w:widowControl w:val="0"/>
        <w:overflowPunct/>
        <w:topLinePunct w:val="0"/>
        <w:bidi w:val="0"/>
        <w:jc w:val="center"/>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商务要求</w:t>
      </w:r>
    </w:p>
    <w:tbl>
      <w:tblPr>
        <w:tblStyle w:val="32"/>
        <w:tblpPr w:leftFromText="180" w:rightFromText="180" w:vertAnchor="text" w:tblpXSpec="center" w:tblpY="1"/>
        <w:tblOverlap w:val="never"/>
        <w:tblW w:w="955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48"/>
        <w:gridCol w:w="7411"/>
      </w:tblGrid>
      <w:tr w14:paraId="0FEC3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jc w:val="center"/>
        </w:trPr>
        <w:tc>
          <w:tcPr>
            <w:tcW w:w="2148" w:type="dxa"/>
            <w:tcBorders>
              <w:top w:val="single" w:color="auto" w:sz="4" w:space="0"/>
              <w:left w:val="single" w:color="auto" w:sz="4" w:space="0"/>
              <w:bottom w:val="single" w:color="auto" w:sz="4" w:space="0"/>
              <w:right w:val="single" w:color="auto" w:sz="4" w:space="0"/>
            </w:tcBorders>
            <w:noWrap/>
            <w:vAlign w:val="center"/>
          </w:tcPr>
          <w:p w14:paraId="6E0195EC">
            <w:pPr>
              <w:pStyle w:val="13"/>
              <w:keepNext w:val="0"/>
              <w:pageBreakBefore w:val="0"/>
              <w:widowControl w:val="0"/>
              <w:overflowPunct/>
              <w:topLinePunct w:val="0"/>
              <w:bidi w:val="0"/>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合同签订时间</w:t>
            </w:r>
          </w:p>
        </w:tc>
        <w:tc>
          <w:tcPr>
            <w:tcW w:w="7411" w:type="dxa"/>
            <w:tcBorders>
              <w:top w:val="single" w:color="auto" w:sz="4" w:space="0"/>
              <w:left w:val="single" w:color="auto" w:sz="4" w:space="0"/>
              <w:bottom w:val="single" w:color="auto" w:sz="4" w:space="0"/>
              <w:right w:val="single" w:color="auto" w:sz="4" w:space="0"/>
            </w:tcBorders>
            <w:noWrap/>
            <w:vAlign w:val="center"/>
          </w:tcPr>
          <w:p w14:paraId="6A337923">
            <w:pPr>
              <w:pStyle w:val="13"/>
              <w:keepNext w:val="0"/>
              <w:pageBreakBefore w:val="0"/>
              <w:widowControl w:val="0"/>
              <w:overflowPunct/>
              <w:topLinePunct w:val="0"/>
              <w:bidi w:val="0"/>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自成交通知书发出之日起</w:t>
            </w:r>
            <w:r>
              <w:rPr>
                <w:rFonts w:hint="eastAsia" w:cs="宋体"/>
                <w:color w:val="auto"/>
                <w:sz w:val="21"/>
                <w:szCs w:val="21"/>
                <w:highlight w:val="none"/>
                <w:lang w:val="en-US" w:eastAsia="zh-CN"/>
              </w:rPr>
              <w:t>30</w:t>
            </w:r>
            <w:r>
              <w:rPr>
                <w:rFonts w:hint="eastAsia" w:ascii="宋体" w:hAnsi="宋体" w:eastAsia="宋体" w:cs="宋体"/>
                <w:color w:val="auto"/>
                <w:sz w:val="21"/>
                <w:szCs w:val="21"/>
                <w:highlight w:val="none"/>
                <w:lang w:val="en-US" w:eastAsia="zh-CN"/>
              </w:rPr>
              <w:t>日内。</w:t>
            </w:r>
          </w:p>
        </w:tc>
      </w:tr>
      <w:tr w14:paraId="399FFB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jc w:val="center"/>
        </w:trPr>
        <w:tc>
          <w:tcPr>
            <w:tcW w:w="2148" w:type="dxa"/>
            <w:tcBorders>
              <w:top w:val="single" w:color="auto" w:sz="4" w:space="0"/>
              <w:left w:val="single" w:color="auto" w:sz="4" w:space="0"/>
              <w:bottom w:val="single" w:color="auto" w:sz="4" w:space="0"/>
              <w:right w:val="single" w:color="auto" w:sz="4" w:space="0"/>
            </w:tcBorders>
            <w:noWrap/>
            <w:vAlign w:val="center"/>
          </w:tcPr>
          <w:p w14:paraId="09E94F26">
            <w:pPr>
              <w:pStyle w:val="13"/>
              <w:keepNext w:val="0"/>
              <w:pageBreakBefore w:val="0"/>
              <w:widowControl w:val="0"/>
              <w:overflowPunct/>
              <w:topLinePunct w:val="0"/>
              <w:bidi w:val="0"/>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交货地点</w:t>
            </w:r>
          </w:p>
        </w:tc>
        <w:tc>
          <w:tcPr>
            <w:tcW w:w="7411" w:type="dxa"/>
            <w:tcBorders>
              <w:top w:val="single" w:color="auto" w:sz="4" w:space="0"/>
              <w:left w:val="single" w:color="auto" w:sz="4" w:space="0"/>
              <w:bottom w:val="single" w:color="auto" w:sz="4" w:space="0"/>
              <w:right w:val="single" w:color="auto" w:sz="4" w:space="0"/>
            </w:tcBorders>
            <w:noWrap/>
            <w:vAlign w:val="center"/>
          </w:tcPr>
          <w:p w14:paraId="77B0CCF3">
            <w:pPr>
              <w:pStyle w:val="13"/>
              <w:keepNext w:val="0"/>
              <w:pageBreakBefore w:val="0"/>
              <w:widowControl w:val="0"/>
              <w:overflowPunct/>
              <w:topLinePunct w:val="0"/>
              <w:bidi w:val="0"/>
              <w:ind w:left="0" w:leftChars="0"/>
              <w:jc w:val="left"/>
              <w:rPr>
                <w:rFonts w:hint="eastAsia" w:ascii="宋体" w:hAnsi="宋体" w:eastAsia="宋体" w:cs="宋体"/>
                <w:color w:val="auto"/>
                <w:sz w:val="21"/>
                <w:szCs w:val="21"/>
                <w:highlight w:val="none"/>
                <w:lang w:val="en-US" w:eastAsia="zh-CN"/>
              </w:rPr>
            </w:pPr>
            <w:r>
              <w:rPr>
                <w:rFonts w:hint="eastAsia" w:ascii="宋体" w:hAnsi="宋体" w:eastAsia="宋体" w:cs="宋体"/>
                <w:b w:val="0"/>
                <w:bCs w:val="0"/>
                <w:color w:val="auto"/>
                <w:sz w:val="21"/>
                <w:szCs w:val="21"/>
                <w:highlight w:val="none"/>
              </w:rPr>
              <w:t>驻马店市中心医院3号楼</w:t>
            </w:r>
            <w:r>
              <w:rPr>
                <w:rFonts w:hint="eastAsia" w:ascii="宋体" w:hAnsi="宋体" w:eastAsia="宋体" w:cs="宋体"/>
                <w:color w:val="auto"/>
                <w:sz w:val="21"/>
                <w:szCs w:val="21"/>
                <w:highlight w:val="none"/>
                <w:lang w:val="en-US" w:eastAsia="zh-CN"/>
              </w:rPr>
              <w:t>。</w:t>
            </w:r>
          </w:p>
        </w:tc>
      </w:tr>
      <w:tr w14:paraId="15D963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jc w:val="center"/>
        </w:trPr>
        <w:tc>
          <w:tcPr>
            <w:tcW w:w="2148" w:type="dxa"/>
            <w:tcBorders>
              <w:top w:val="single" w:color="auto" w:sz="4" w:space="0"/>
              <w:left w:val="single" w:color="auto" w:sz="4" w:space="0"/>
              <w:bottom w:val="single" w:color="auto" w:sz="4" w:space="0"/>
              <w:right w:val="single" w:color="auto" w:sz="4" w:space="0"/>
            </w:tcBorders>
            <w:noWrap/>
            <w:vAlign w:val="center"/>
          </w:tcPr>
          <w:p w14:paraId="701C2F15">
            <w:pPr>
              <w:pStyle w:val="13"/>
              <w:keepNext w:val="0"/>
              <w:pageBreakBefore w:val="0"/>
              <w:widowControl w:val="0"/>
              <w:overflowPunct/>
              <w:topLinePunct w:val="0"/>
              <w:bidi w:val="0"/>
              <w:ind w:left="0" w:leftChars="0"/>
              <w:jc w:val="center"/>
              <w:rPr>
                <w:rFonts w:hint="eastAsia"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交货期</w:t>
            </w:r>
          </w:p>
        </w:tc>
        <w:tc>
          <w:tcPr>
            <w:tcW w:w="7411" w:type="dxa"/>
            <w:tcBorders>
              <w:top w:val="single" w:color="auto" w:sz="4" w:space="0"/>
              <w:left w:val="single" w:color="auto" w:sz="4" w:space="0"/>
              <w:bottom w:val="single" w:color="auto" w:sz="4" w:space="0"/>
              <w:right w:val="single" w:color="auto" w:sz="4" w:space="0"/>
            </w:tcBorders>
            <w:noWrap/>
            <w:vAlign w:val="center"/>
          </w:tcPr>
          <w:p w14:paraId="02E3AF65">
            <w:pPr>
              <w:pStyle w:val="13"/>
              <w:keepNext w:val="0"/>
              <w:pageBreakBefore w:val="0"/>
              <w:widowControl w:val="0"/>
              <w:overflowPunct/>
              <w:topLinePunct w:val="0"/>
              <w:bidi w:val="0"/>
              <w:ind w:left="0" w:leftChars="0"/>
              <w:jc w:val="left"/>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合同签订后5个日历日内到货，15个日历日内调试完毕。</w:t>
            </w:r>
          </w:p>
        </w:tc>
      </w:tr>
      <w:tr w14:paraId="66D050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jc w:val="center"/>
        </w:trPr>
        <w:tc>
          <w:tcPr>
            <w:tcW w:w="2148" w:type="dxa"/>
            <w:tcBorders>
              <w:top w:val="single" w:color="auto" w:sz="4" w:space="0"/>
              <w:left w:val="single" w:color="auto" w:sz="4" w:space="0"/>
              <w:bottom w:val="single" w:color="auto" w:sz="4" w:space="0"/>
              <w:right w:val="single" w:color="auto" w:sz="4" w:space="0"/>
            </w:tcBorders>
            <w:noWrap/>
            <w:vAlign w:val="center"/>
          </w:tcPr>
          <w:p w14:paraId="689A1A7B">
            <w:pPr>
              <w:pStyle w:val="13"/>
              <w:keepNext w:val="0"/>
              <w:pageBreakBefore w:val="0"/>
              <w:widowControl w:val="0"/>
              <w:overflowPunct/>
              <w:topLinePunct w:val="0"/>
              <w:bidi w:val="0"/>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质保期</w:t>
            </w:r>
          </w:p>
        </w:tc>
        <w:tc>
          <w:tcPr>
            <w:tcW w:w="7411" w:type="dxa"/>
            <w:tcBorders>
              <w:top w:val="single" w:color="auto" w:sz="4" w:space="0"/>
              <w:left w:val="single" w:color="auto" w:sz="4" w:space="0"/>
              <w:bottom w:val="single" w:color="auto" w:sz="4" w:space="0"/>
              <w:right w:val="single" w:color="auto" w:sz="4" w:space="0"/>
            </w:tcBorders>
            <w:noWrap/>
            <w:vAlign w:val="center"/>
          </w:tcPr>
          <w:p w14:paraId="62D90186">
            <w:pPr>
              <w:pStyle w:val="13"/>
              <w:keepNext w:val="0"/>
              <w:pageBreakBefore w:val="0"/>
              <w:widowControl w:val="0"/>
              <w:overflowPunct/>
              <w:topLinePunct w:val="0"/>
              <w:bidi w:val="0"/>
              <w:ind w:left="0" w:leftChars="0"/>
              <w:jc w:val="left"/>
              <w:rPr>
                <w:rFonts w:hint="default"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蓄电池和灯具质保不低于1年（自验收合格日起）</w:t>
            </w:r>
          </w:p>
        </w:tc>
      </w:tr>
      <w:tr w14:paraId="0EEC96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jc w:val="center"/>
        </w:trPr>
        <w:tc>
          <w:tcPr>
            <w:tcW w:w="2148" w:type="dxa"/>
            <w:tcBorders>
              <w:top w:val="single" w:color="auto" w:sz="4" w:space="0"/>
              <w:left w:val="single" w:color="auto" w:sz="4" w:space="0"/>
              <w:bottom w:val="single" w:color="auto" w:sz="4" w:space="0"/>
              <w:right w:val="single" w:color="auto" w:sz="4" w:space="0"/>
            </w:tcBorders>
            <w:noWrap/>
            <w:vAlign w:val="center"/>
          </w:tcPr>
          <w:p w14:paraId="6F0E6B69">
            <w:pPr>
              <w:pStyle w:val="13"/>
              <w:keepNext w:val="0"/>
              <w:pageBreakBefore w:val="0"/>
              <w:widowControl w:val="0"/>
              <w:overflowPunct/>
              <w:topLinePunct w:val="0"/>
              <w:bidi w:val="0"/>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质量要求</w:t>
            </w:r>
          </w:p>
        </w:tc>
        <w:tc>
          <w:tcPr>
            <w:tcW w:w="7411" w:type="dxa"/>
            <w:tcBorders>
              <w:top w:val="single" w:color="auto" w:sz="4" w:space="0"/>
              <w:left w:val="single" w:color="auto" w:sz="4" w:space="0"/>
              <w:bottom w:val="single" w:color="auto" w:sz="4" w:space="0"/>
              <w:right w:val="single" w:color="auto" w:sz="4" w:space="0"/>
            </w:tcBorders>
            <w:noWrap/>
            <w:vAlign w:val="center"/>
          </w:tcPr>
          <w:p w14:paraId="64C80CF2">
            <w:pPr>
              <w:pStyle w:val="13"/>
              <w:keepNext w:val="0"/>
              <w:pageBreakBefore w:val="0"/>
              <w:widowControl w:val="0"/>
              <w:overflowPunct/>
              <w:topLinePunct w:val="0"/>
              <w:bidi w:val="0"/>
              <w:ind w:left="0" w:leftChars="0"/>
              <w:jc w:val="left"/>
              <w:rPr>
                <w:rFonts w:hint="eastAsia"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符合国家有关法律法规及行业标准要求，及采购人要求。</w:t>
            </w:r>
          </w:p>
        </w:tc>
      </w:tr>
      <w:tr w14:paraId="4F9CDE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4" w:hRule="atLeast"/>
          <w:jc w:val="center"/>
        </w:trPr>
        <w:tc>
          <w:tcPr>
            <w:tcW w:w="2148" w:type="dxa"/>
            <w:tcBorders>
              <w:top w:val="single" w:color="auto" w:sz="4" w:space="0"/>
              <w:left w:val="single" w:color="auto" w:sz="4" w:space="0"/>
              <w:bottom w:val="single" w:color="auto" w:sz="4" w:space="0"/>
              <w:right w:val="single" w:color="auto" w:sz="4" w:space="0"/>
            </w:tcBorders>
            <w:noWrap/>
            <w:vAlign w:val="center"/>
          </w:tcPr>
          <w:p w14:paraId="481E1749">
            <w:pPr>
              <w:pStyle w:val="13"/>
              <w:keepNext w:val="0"/>
              <w:pageBreakBefore w:val="0"/>
              <w:widowControl w:val="0"/>
              <w:overflowPunct/>
              <w:topLinePunct w:val="0"/>
              <w:bidi w:val="0"/>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付款方式</w:t>
            </w:r>
          </w:p>
        </w:tc>
        <w:tc>
          <w:tcPr>
            <w:tcW w:w="7411" w:type="dxa"/>
            <w:tcBorders>
              <w:top w:val="single" w:color="auto" w:sz="4" w:space="0"/>
              <w:left w:val="single" w:color="auto" w:sz="4" w:space="0"/>
              <w:bottom w:val="single" w:color="auto" w:sz="4" w:space="0"/>
              <w:right w:val="single" w:color="auto" w:sz="4" w:space="0"/>
            </w:tcBorders>
            <w:noWrap/>
            <w:vAlign w:val="center"/>
          </w:tcPr>
          <w:p w14:paraId="157EA0BF">
            <w:pPr>
              <w:pStyle w:val="13"/>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以合同签订为准。</w:t>
            </w:r>
          </w:p>
        </w:tc>
      </w:tr>
      <w:tr w14:paraId="569117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70" w:hRule="atLeast"/>
          <w:jc w:val="center"/>
        </w:trPr>
        <w:tc>
          <w:tcPr>
            <w:tcW w:w="2148" w:type="dxa"/>
            <w:tcBorders>
              <w:top w:val="single" w:color="auto" w:sz="4" w:space="0"/>
              <w:left w:val="single" w:color="auto" w:sz="4" w:space="0"/>
              <w:bottom w:val="single" w:color="auto" w:sz="4" w:space="0"/>
              <w:right w:val="single" w:color="auto" w:sz="4" w:space="0"/>
            </w:tcBorders>
            <w:noWrap/>
            <w:vAlign w:val="center"/>
          </w:tcPr>
          <w:p w14:paraId="6B3FA674">
            <w:pPr>
              <w:pStyle w:val="13"/>
              <w:keepNext w:val="0"/>
              <w:pageBreakBefore w:val="0"/>
              <w:widowControl w:val="0"/>
              <w:overflowPunct/>
              <w:topLinePunct w:val="0"/>
              <w:bidi w:val="0"/>
              <w:ind w:left="0" w:leftChars="0"/>
              <w:jc w:val="center"/>
              <w:rPr>
                <w:rFonts w:hint="default"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售后服务要求</w:t>
            </w:r>
          </w:p>
        </w:tc>
        <w:tc>
          <w:tcPr>
            <w:tcW w:w="7411" w:type="dxa"/>
            <w:tcBorders>
              <w:top w:val="single" w:color="auto" w:sz="4" w:space="0"/>
              <w:left w:val="single" w:color="auto" w:sz="4" w:space="0"/>
              <w:bottom w:val="single" w:color="auto" w:sz="4" w:space="0"/>
              <w:right w:val="single" w:color="auto" w:sz="4" w:space="0"/>
            </w:tcBorders>
            <w:noWrap/>
            <w:vAlign w:val="center"/>
          </w:tcPr>
          <w:p w14:paraId="7CA5C9C5">
            <w:pPr>
              <w:pStyle w:val="13"/>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shd w:val="clear" w:color="auto" w:fill="FFFFFF"/>
                <w:lang w:val="en-US" w:eastAsia="zh-CN" w:bidi="ar-SA"/>
              </w:rPr>
              <w:t>在正常使用和维护条件下，因材料或制造工艺缺陷导致的性能不达标或故障（如电池容量衰减过快、内部短路、开路、外壳破裂、漏液等）供应商应在接到通知后2小时内响应，并在4小时内免费提供维修或更换服务（更换为同型号或性能相当的新电池）。更换后的电池质保期应重新计算或延续原剩余期限。</w:t>
            </w:r>
          </w:p>
        </w:tc>
      </w:tr>
    </w:tbl>
    <w:p w14:paraId="2E1DED28">
      <w:pPr>
        <w:pStyle w:val="22"/>
        <w:keepNext w:val="0"/>
        <w:pageBreakBefore w:val="0"/>
        <w:widowControl w:val="0"/>
        <w:overflowPunct/>
        <w:topLinePunct w:val="0"/>
        <w:bidi w:val="0"/>
        <w:rPr>
          <w:rFonts w:hint="eastAsia" w:ascii="宋体" w:hAnsi="宋体" w:eastAsia="宋体" w:cs="宋体"/>
          <w:color w:val="auto"/>
          <w:highlight w:val="none"/>
        </w:rPr>
      </w:pPr>
    </w:p>
    <w:p w14:paraId="043827F2">
      <w:pPr>
        <w:keepNext w:val="0"/>
        <w:keepLines w:val="0"/>
        <w:pageBreakBefore w:val="0"/>
        <w:widowControl w:val="0"/>
        <w:kinsoku/>
        <w:wordWrap/>
        <w:overflowPunct/>
        <w:topLinePunct w:val="0"/>
        <w:autoSpaceDE/>
        <w:autoSpaceDN/>
        <w:bidi w:val="0"/>
        <w:adjustRightInd/>
        <w:snapToGrid w:val="0"/>
        <w:spacing w:before="161" w:beforeLines="50" w:line="360" w:lineRule="auto"/>
        <w:jc w:val="center"/>
        <w:textAlignment w:val="auto"/>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采购人对项目的特殊要求及说明</w:t>
      </w:r>
    </w:p>
    <w:tbl>
      <w:tblPr>
        <w:tblStyle w:val="32"/>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14:paraId="00DBE4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6"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14:paraId="535ACF60">
            <w:pPr>
              <w:keepNext w:val="0"/>
              <w:pageBreakBefore w:val="0"/>
              <w:widowControl w:val="0"/>
              <w:overflowPunct/>
              <w:topLinePunct w:val="0"/>
              <w:bidi w:val="0"/>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14:paraId="4AC5D973">
            <w:pPr>
              <w:keepNext w:val="0"/>
              <w:pageBreakBefore w:val="0"/>
              <w:widowControl w:val="0"/>
              <w:numPr>
                <w:ilvl w:val="0"/>
                <w:numId w:val="1"/>
              </w:numPr>
              <w:overflowPunct/>
              <w:topLinePunct w:val="0"/>
              <w:bidi w:val="0"/>
              <w:snapToGrid w:val="0"/>
              <w:spacing w:line="360" w:lineRule="auto"/>
              <w:rPr>
                <w:rFonts w:hint="eastAsia" w:ascii="宋体" w:hAnsi="宋体" w:eastAsia="宋体" w:cs="宋体"/>
                <w:color w:val="auto"/>
                <w:highlight w:val="none"/>
              </w:rPr>
            </w:pPr>
            <w:r>
              <w:rPr>
                <w:rFonts w:hint="eastAsia" w:ascii="宋体" w:hAnsi="宋体" w:eastAsia="宋体" w:cs="宋体"/>
                <w:color w:val="auto"/>
                <w:highlight w:val="none"/>
              </w:rPr>
              <w:t>不接受联合体投标，不允许转包和分包。</w:t>
            </w:r>
          </w:p>
          <w:p w14:paraId="373F1E51">
            <w:pPr>
              <w:keepNext w:val="0"/>
              <w:pageBreakBefore w:val="0"/>
              <w:widowControl w:val="0"/>
              <w:overflowPunct/>
              <w:topLinePunct w:val="0"/>
              <w:bidi w:val="0"/>
              <w:snapToGrid w:val="0"/>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2、授权磋商小组确定一名成交供应商并推荐</w:t>
            </w:r>
            <w:r>
              <w:rPr>
                <w:rFonts w:hint="eastAsia" w:ascii="宋体" w:hAnsi="宋体" w:cs="宋体"/>
                <w:color w:val="auto"/>
                <w:highlight w:val="none"/>
                <w:lang w:val="en-US" w:eastAsia="zh-CN"/>
              </w:rPr>
              <w:t>一</w:t>
            </w:r>
            <w:r>
              <w:rPr>
                <w:rFonts w:hint="eastAsia" w:ascii="宋体" w:hAnsi="宋体" w:eastAsia="宋体" w:cs="宋体"/>
                <w:color w:val="auto"/>
                <w:highlight w:val="none"/>
                <w:lang w:val="en-US" w:eastAsia="zh-CN"/>
              </w:rPr>
              <w:t>名成交候选供应商。</w:t>
            </w:r>
          </w:p>
          <w:p w14:paraId="06264DAC">
            <w:pPr>
              <w:keepNext w:val="0"/>
              <w:pageBreakBefore w:val="0"/>
              <w:widowControl w:val="0"/>
              <w:overflowPunct/>
              <w:topLinePunct w:val="0"/>
              <w:bidi w:val="0"/>
              <w:snapToGrid w:val="0"/>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3、供应商应根据采购文件的要求提供技术响应部分、商务响应部分等内容以对采购文件作出响应。</w:t>
            </w:r>
          </w:p>
          <w:p w14:paraId="56290533">
            <w:pPr>
              <w:keepNext w:val="0"/>
              <w:pageBreakBefore w:val="0"/>
              <w:widowControl w:val="0"/>
              <w:overflowPunct/>
              <w:topLinePunct w:val="0"/>
              <w:bidi w:val="0"/>
              <w:snapToGrid w:val="0"/>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w:t>
            </w:r>
            <w:r>
              <w:rPr>
                <w:rFonts w:hint="eastAsia" w:cs="Times New Roman"/>
                <w:color w:val="auto"/>
                <w:highlight w:val="none"/>
                <w:lang w:val="en-US" w:eastAsia="zh-CN"/>
              </w:rPr>
              <w:t>采购人使用成交供应商成交的货物、技术、资料、服务或其他任何一部分时，享有无偿使用权。免受第三方提出的侵犯其专利权、著作权、商标权或其它知识产权的起诉。如果第三方提出侵权指控，成交供应商应承担由此而引起的一切法律责任和费用。</w:t>
            </w:r>
          </w:p>
        </w:tc>
      </w:tr>
    </w:tbl>
    <w:p w14:paraId="3E3E650D">
      <w:pPr>
        <w:keepNext w:val="0"/>
        <w:pageBreakBefore w:val="0"/>
        <w:widowControl w:val="0"/>
        <w:overflowPunct/>
        <w:topLinePunct w:val="0"/>
        <w:bidi w:val="0"/>
        <w:rPr>
          <w:rFonts w:hint="eastAsia" w:ascii="宋体" w:hAnsi="宋体" w:eastAsia="宋体" w:cs="宋体"/>
          <w:color w:val="auto"/>
          <w:highlight w:val="none"/>
        </w:rPr>
      </w:pPr>
    </w:p>
    <w:p w14:paraId="606E7B06">
      <w:pPr>
        <w:keepNext w:val="0"/>
        <w:pageBreakBefore w:val="0"/>
        <w:widowControl w:val="0"/>
        <w:overflowPunct/>
        <w:topLinePunct w:val="0"/>
        <w:bidi w:val="0"/>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br w:type="page"/>
      </w:r>
    </w:p>
    <w:p w14:paraId="5850CAA7">
      <w:pPr>
        <w:keepNext w:val="0"/>
        <w:pageBreakBefore w:val="0"/>
        <w:widowControl w:val="0"/>
        <w:overflowPunct/>
        <w:topLinePunct w:val="0"/>
        <w:bidi w:val="0"/>
        <w:jc w:val="center"/>
        <w:outlineLvl w:val="0"/>
        <w:rPr>
          <w:rFonts w:hint="eastAsia" w:ascii="宋体" w:hAnsi="宋体" w:eastAsia="宋体" w:cs="宋体"/>
          <w:b/>
          <w:bCs/>
          <w:color w:val="auto"/>
          <w:sz w:val="32"/>
          <w:szCs w:val="32"/>
          <w:highlight w:val="none"/>
        </w:rPr>
      </w:pPr>
      <w:bookmarkStart w:id="35" w:name="_Toc8501"/>
      <w:r>
        <w:rPr>
          <w:rFonts w:hint="eastAsia" w:ascii="宋体" w:hAnsi="宋体" w:eastAsia="宋体" w:cs="宋体"/>
          <w:b/>
          <w:bCs/>
          <w:color w:val="auto"/>
          <w:sz w:val="32"/>
          <w:szCs w:val="32"/>
          <w:highlight w:val="none"/>
        </w:rPr>
        <w:t xml:space="preserve">第三章  </w:t>
      </w:r>
      <w:r>
        <w:rPr>
          <w:rFonts w:hint="eastAsia" w:ascii="宋体" w:hAnsi="宋体" w:eastAsia="宋体" w:cs="宋体"/>
          <w:b/>
          <w:bCs/>
          <w:color w:val="auto"/>
          <w:sz w:val="32"/>
          <w:szCs w:val="32"/>
          <w:highlight w:val="none"/>
          <w:lang w:eastAsia="zh-CN"/>
        </w:rPr>
        <w:t>供应商</w:t>
      </w:r>
      <w:r>
        <w:rPr>
          <w:rFonts w:hint="eastAsia" w:ascii="宋体" w:hAnsi="宋体" w:eastAsia="宋体" w:cs="宋体"/>
          <w:b/>
          <w:bCs/>
          <w:color w:val="auto"/>
          <w:sz w:val="32"/>
          <w:szCs w:val="32"/>
          <w:highlight w:val="none"/>
        </w:rPr>
        <w:t>须知</w:t>
      </w:r>
      <w:bookmarkEnd w:id="35"/>
    </w:p>
    <w:p w14:paraId="6CB10D3F">
      <w:pPr>
        <w:keepNext w:val="0"/>
        <w:pageBreakBefore w:val="0"/>
        <w:widowControl w:val="0"/>
        <w:overflowPunct/>
        <w:topLinePunct w:val="0"/>
        <w:bidi w:val="0"/>
        <w:snapToGrid w:val="0"/>
        <w:spacing w:beforeLines="50" w:line="360" w:lineRule="auto"/>
        <w:jc w:val="center"/>
        <w:outlineLvl w:val="1"/>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供应商</w:t>
      </w:r>
      <w:r>
        <w:rPr>
          <w:rFonts w:hint="eastAsia" w:ascii="宋体" w:hAnsi="宋体" w:eastAsia="宋体" w:cs="宋体"/>
          <w:color w:val="auto"/>
          <w:sz w:val="28"/>
          <w:szCs w:val="28"/>
          <w:highlight w:val="none"/>
        </w:rPr>
        <w:t>须知前附表</w:t>
      </w:r>
    </w:p>
    <w:tbl>
      <w:tblPr>
        <w:tblStyle w:val="32"/>
        <w:tblW w:w="9840" w:type="dxa"/>
        <w:jc w:val="center"/>
        <w:tblLayout w:type="fixed"/>
        <w:tblCellMar>
          <w:top w:w="0" w:type="dxa"/>
          <w:left w:w="0" w:type="dxa"/>
          <w:bottom w:w="0" w:type="dxa"/>
          <w:right w:w="0" w:type="dxa"/>
        </w:tblCellMar>
      </w:tblPr>
      <w:tblGrid>
        <w:gridCol w:w="926"/>
        <w:gridCol w:w="8914"/>
      </w:tblGrid>
      <w:tr w14:paraId="7152AC17">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B1F5D00">
            <w:pPr>
              <w:keepNext w:val="0"/>
              <w:pageBreakBefore w:val="0"/>
              <w:widowControl w:val="0"/>
              <w:overflowPunct/>
              <w:topLinePunct w:val="0"/>
              <w:bidi w:val="0"/>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0341175A">
            <w:pPr>
              <w:keepNext w:val="0"/>
              <w:pageBreakBefore w:val="0"/>
              <w:widowControl w:val="0"/>
              <w:overflowPunct/>
              <w:topLinePunct w:val="0"/>
              <w:bidi w:val="0"/>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内容、要求</w:t>
            </w:r>
          </w:p>
        </w:tc>
      </w:tr>
      <w:tr w14:paraId="6874865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7B2DD48">
            <w:pPr>
              <w:keepNext w:val="0"/>
              <w:pageBreakBefore w:val="0"/>
              <w:widowControl w:val="0"/>
              <w:overflowPunct/>
              <w:topLinePunct w:val="0"/>
              <w:bidi w:val="0"/>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E351CFF">
            <w:pPr>
              <w:keepNext w:val="0"/>
              <w:pageBreakBefore w:val="0"/>
              <w:widowControl w:val="0"/>
              <w:overflowPunct/>
              <w:topLinePunct w:val="0"/>
              <w:bidi w:val="0"/>
              <w:snapToGrid w:val="0"/>
              <w:spacing w:line="440" w:lineRule="exact"/>
              <w:jc w:val="left"/>
              <w:outlineLvl w:val="0"/>
              <w:rPr>
                <w:rFonts w:hint="eastAsia" w:ascii="宋体" w:hAnsi="宋体" w:eastAsia="宋体" w:cs="宋体"/>
                <w:color w:val="auto"/>
                <w:highlight w:val="none"/>
                <w:lang w:val="en-US"/>
              </w:rPr>
            </w:pPr>
            <w:bookmarkStart w:id="36" w:name="_Toc9566"/>
            <w:bookmarkStart w:id="37" w:name="_Toc27817"/>
            <w:bookmarkStart w:id="38" w:name="_Toc30169"/>
            <w:r>
              <w:rPr>
                <w:rFonts w:hint="eastAsia" w:ascii="宋体" w:hAnsi="宋体" w:eastAsia="宋体" w:cs="宋体"/>
                <w:color w:val="auto"/>
                <w:highlight w:val="none"/>
              </w:rPr>
              <w:t>1.1项目名称：</w:t>
            </w:r>
            <w:bookmarkEnd w:id="36"/>
            <w:bookmarkEnd w:id="37"/>
            <w:bookmarkEnd w:id="38"/>
            <w:r>
              <w:rPr>
                <w:rFonts w:hint="eastAsia" w:ascii="宋体" w:hAnsi="宋体" w:cs="宋体"/>
                <w:color w:val="auto"/>
                <w:highlight w:val="none"/>
                <w:lang w:val="en-US" w:eastAsia="zh-CN"/>
              </w:rPr>
              <w:t>驻马店市中心医院3号楼应急照明系统电池、应急照明灯具采购安装项目</w:t>
            </w:r>
          </w:p>
          <w:p w14:paraId="710A5111">
            <w:pPr>
              <w:keepNext w:val="0"/>
              <w:pageBreakBefore w:val="0"/>
              <w:widowControl w:val="0"/>
              <w:overflowPunct/>
              <w:topLinePunct w:val="0"/>
              <w:bidi w:val="0"/>
              <w:snapToGrid w:val="0"/>
              <w:spacing w:line="440" w:lineRule="exact"/>
              <w:jc w:val="left"/>
              <w:outlineLvl w:val="0"/>
              <w:rPr>
                <w:rFonts w:hint="eastAsia" w:ascii="宋体" w:hAnsi="宋体" w:eastAsia="宋体" w:cs="宋体"/>
                <w:color w:val="auto"/>
                <w:highlight w:val="none"/>
              </w:rPr>
            </w:pPr>
            <w:bookmarkStart w:id="39" w:name="_Toc29400"/>
            <w:bookmarkStart w:id="40" w:name="_Toc23424"/>
            <w:bookmarkStart w:id="41" w:name="_Toc28320"/>
            <w:r>
              <w:rPr>
                <w:rFonts w:hint="eastAsia" w:ascii="宋体" w:hAnsi="宋体" w:eastAsia="宋体" w:cs="宋体"/>
                <w:color w:val="auto"/>
                <w:highlight w:val="none"/>
              </w:rPr>
              <w:t>1.2采购人名称：</w:t>
            </w:r>
            <w:bookmarkEnd w:id="39"/>
            <w:bookmarkEnd w:id="40"/>
            <w:bookmarkEnd w:id="41"/>
            <w:r>
              <w:rPr>
                <w:rFonts w:hint="eastAsia" w:ascii="宋体" w:hAnsi="宋体" w:eastAsia="宋体" w:cs="宋体"/>
                <w:color w:val="auto"/>
                <w:highlight w:val="none"/>
              </w:rPr>
              <w:t>驻马店市中心医院</w:t>
            </w:r>
          </w:p>
          <w:p w14:paraId="0043921C">
            <w:pPr>
              <w:keepNext w:val="0"/>
              <w:pageBreakBefore w:val="0"/>
              <w:widowControl w:val="0"/>
              <w:overflowPunct/>
              <w:topLinePunct w:val="0"/>
              <w:bidi w:val="0"/>
              <w:snapToGrid w:val="0"/>
              <w:spacing w:line="440" w:lineRule="exact"/>
              <w:jc w:val="left"/>
              <w:outlineLvl w:val="0"/>
              <w:rPr>
                <w:rFonts w:hint="eastAsia" w:ascii="宋体" w:hAnsi="宋体" w:eastAsia="宋体" w:cs="宋体"/>
                <w:color w:val="auto"/>
                <w:kern w:val="2"/>
                <w:sz w:val="21"/>
                <w:szCs w:val="24"/>
                <w:highlight w:val="none"/>
                <w:lang w:val="en-US" w:eastAsia="zh-CN" w:bidi="ar-SA"/>
              </w:rPr>
            </w:pPr>
            <w:bookmarkStart w:id="42" w:name="_Toc3148"/>
            <w:bookmarkStart w:id="43" w:name="_Toc24541"/>
            <w:bookmarkStart w:id="44" w:name="_Toc26199"/>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采购范围：详</w:t>
            </w:r>
            <w:r>
              <w:rPr>
                <w:rFonts w:hint="eastAsia" w:ascii="宋体" w:hAnsi="宋体" w:eastAsia="宋体" w:cs="宋体"/>
                <w:color w:val="auto"/>
                <w:highlight w:val="none"/>
                <w:lang w:val="en-US" w:eastAsia="zh-CN"/>
              </w:rPr>
              <w:t>见第二章采购</w:t>
            </w:r>
            <w:r>
              <w:rPr>
                <w:rFonts w:hint="eastAsia" w:ascii="宋体" w:hAnsi="宋体" w:eastAsia="宋体" w:cs="宋体"/>
                <w:color w:val="auto"/>
                <w:highlight w:val="none"/>
              </w:rPr>
              <w:t>需求</w:t>
            </w:r>
            <w:bookmarkEnd w:id="42"/>
            <w:bookmarkEnd w:id="43"/>
            <w:bookmarkEnd w:id="44"/>
          </w:p>
        </w:tc>
      </w:tr>
      <w:tr w14:paraId="1A0A6ACB">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3B86117">
            <w:pPr>
              <w:keepNext w:val="0"/>
              <w:pageBreakBefore w:val="0"/>
              <w:widowControl w:val="0"/>
              <w:overflowPunct/>
              <w:topLinePunct w:val="0"/>
              <w:bidi w:val="0"/>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29F9D1B">
            <w:pPr>
              <w:keepNext w:val="0"/>
              <w:pageBreakBefore w:val="0"/>
              <w:widowControl w:val="0"/>
              <w:overflowPunct/>
              <w:topLinePunct w:val="0"/>
              <w:bidi w:val="0"/>
              <w:spacing w:line="44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合格</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：具备</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公告第二项规定的条件。</w:t>
            </w:r>
          </w:p>
        </w:tc>
      </w:tr>
      <w:tr w14:paraId="165CED55">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4AD2EA3">
            <w:pPr>
              <w:keepNext w:val="0"/>
              <w:pageBreakBefore w:val="0"/>
              <w:widowControl w:val="0"/>
              <w:overflowPunct/>
              <w:topLinePunct w:val="0"/>
              <w:bidi w:val="0"/>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F12ABCE">
            <w:pPr>
              <w:keepNext w:val="0"/>
              <w:pageBreakBefore w:val="0"/>
              <w:widowControl w:val="0"/>
              <w:overflowPunct/>
              <w:topLinePunct w:val="0"/>
              <w:bidi w:val="0"/>
              <w:snapToGrid w:val="0"/>
              <w:spacing w:line="440" w:lineRule="exact"/>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采购预算：</w:t>
            </w:r>
            <w:r>
              <w:rPr>
                <w:rFonts w:hint="eastAsia" w:ascii="宋体" w:hAnsi="宋体" w:cs="宋体"/>
                <w:color w:val="auto"/>
                <w:kern w:val="0"/>
                <w:szCs w:val="21"/>
                <w:highlight w:val="none"/>
                <w:lang w:val="en-US" w:eastAsia="zh-CN"/>
              </w:rPr>
              <w:t xml:space="preserve">15万元 </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最高投标限价</w:t>
            </w:r>
            <w:r>
              <w:rPr>
                <w:rFonts w:hint="eastAsia" w:ascii="宋体" w:hAnsi="宋体" w:eastAsia="宋体" w:cs="宋体"/>
                <w:color w:val="auto"/>
                <w:kern w:val="0"/>
                <w:szCs w:val="21"/>
                <w:highlight w:val="none"/>
                <w:lang w:val="en-US" w:eastAsia="zh-CN"/>
              </w:rPr>
              <w:t>:</w:t>
            </w:r>
            <w:r>
              <w:rPr>
                <w:rFonts w:hint="eastAsia" w:ascii="宋体" w:hAnsi="宋体" w:cs="宋体"/>
                <w:color w:val="auto"/>
                <w:kern w:val="0"/>
                <w:szCs w:val="21"/>
                <w:highlight w:val="none"/>
                <w:lang w:val="en-US" w:eastAsia="zh-CN"/>
              </w:rPr>
              <w:t>15</w:t>
            </w:r>
            <w:r>
              <w:rPr>
                <w:rFonts w:hint="eastAsia" w:ascii="宋体" w:hAnsi="宋体" w:cs="宋体"/>
                <w:color w:val="auto"/>
                <w:highlight w:val="none"/>
                <w:lang w:val="en-US" w:eastAsia="zh-CN"/>
              </w:rPr>
              <w:t>万元。</w:t>
            </w:r>
          </w:p>
          <w:p w14:paraId="7AFDFAB9">
            <w:pPr>
              <w:keepNext w:val="0"/>
              <w:pageBreakBefore w:val="0"/>
              <w:widowControl w:val="0"/>
              <w:overflowPunct/>
              <w:topLinePunct w:val="0"/>
              <w:bidi w:val="0"/>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3.1 本项目</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以人民币报价。</w:t>
            </w:r>
          </w:p>
          <w:p w14:paraId="48471916">
            <w:pPr>
              <w:keepNext w:val="0"/>
              <w:pageBreakBefore w:val="0"/>
              <w:widowControl w:val="0"/>
              <w:overflowPunct/>
              <w:topLinePunct w:val="0"/>
              <w:bidi w:val="0"/>
              <w:snapToGrid w:val="0"/>
              <w:spacing w:line="440" w:lineRule="exact"/>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val="en-US" w:eastAsia="zh-CN"/>
              </w:rPr>
              <w:t>3.2供应商</w:t>
            </w:r>
            <w:r>
              <w:rPr>
                <w:rFonts w:hint="eastAsia" w:ascii="宋体" w:hAnsi="宋体" w:eastAsia="宋体" w:cs="宋体"/>
                <w:color w:val="auto"/>
                <w:kern w:val="0"/>
                <w:szCs w:val="21"/>
                <w:highlight w:val="none"/>
              </w:rPr>
              <w:t>按</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清单格式分项报价（含税运等全部费用）</w:t>
            </w:r>
            <w:r>
              <w:rPr>
                <w:rFonts w:hint="eastAsia" w:ascii="宋体" w:hAnsi="宋体" w:cs="宋体"/>
                <w:color w:val="auto"/>
                <w:kern w:val="0"/>
                <w:szCs w:val="21"/>
                <w:highlight w:val="none"/>
                <w:lang w:eastAsia="zh-CN"/>
              </w:rPr>
              <w:t>。</w:t>
            </w:r>
          </w:p>
          <w:p w14:paraId="25F0BC31">
            <w:pPr>
              <w:keepNext w:val="0"/>
              <w:pageBreakBefore w:val="0"/>
              <w:widowControl w:val="0"/>
              <w:overflowPunct/>
              <w:topLinePunct w:val="0"/>
              <w:bidi w:val="0"/>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cs="宋体"/>
                <w:color w:val="auto"/>
                <w:kern w:val="0"/>
                <w:szCs w:val="21"/>
                <w:highlight w:val="none"/>
                <w:lang w:val="en-US" w:eastAsia="zh-CN"/>
              </w:rPr>
              <w:t>3</w:t>
            </w:r>
            <w:r>
              <w:rPr>
                <w:rFonts w:hint="eastAsia" w:ascii="宋体" w:hAnsi="宋体" w:eastAsia="宋体" w:cs="宋体"/>
                <w:color w:val="auto"/>
                <w:kern w:val="0"/>
                <w:szCs w:val="21"/>
                <w:highlight w:val="none"/>
              </w:rPr>
              <w:t>供应商的报价超过采购预算，采购人不能支付的，按废标处理。</w:t>
            </w:r>
          </w:p>
          <w:p w14:paraId="2834DD74">
            <w:pPr>
              <w:keepNext w:val="0"/>
              <w:pageBreakBefore w:val="0"/>
              <w:widowControl w:val="0"/>
              <w:overflowPunct/>
              <w:topLinePunct w:val="0"/>
              <w:bidi w:val="0"/>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eastAsia="宋体" w:cs="宋体"/>
                <w:color w:val="auto"/>
                <w:kern w:val="0"/>
                <w:szCs w:val="21"/>
                <w:highlight w:val="none"/>
              </w:rPr>
              <w:t xml:space="preserve"> 本项目</w:t>
            </w:r>
            <w:r>
              <w:rPr>
                <w:rFonts w:hint="eastAsia" w:ascii="宋体" w:hAnsi="宋体" w:eastAsia="宋体" w:cs="宋体"/>
                <w:color w:val="auto"/>
                <w:kern w:val="0"/>
                <w:szCs w:val="21"/>
                <w:highlight w:val="none"/>
                <w:lang w:val="en-US" w:eastAsia="zh-CN"/>
              </w:rPr>
              <w:t>由成交供应商缴纳</w:t>
            </w:r>
            <w:r>
              <w:rPr>
                <w:rFonts w:hint="eastAsia" w:ascii="宋体" w:hAnsi="宋体" w:eastAsia="宋体" w:cs="宋体"/>
                <w:color w:val="auto"/>
                <w:kern w:val="0"/>
                <w:szCs w:val="21"/>
                <w:highlight w:val="none"/>
              </w:rPr>
              <w:t>招标代理服务费。</w:t>
            </w:r>
          </w:p>
        </w:tc>
      </w:tr>
      <w:tr w14:paraId="3EE741B2">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6C1B12A3">
            <w:pPr>
              <w:keepNext w:val="0"/>
              <w:pageBreakBefore w:val="0"/>
              <w:widowControl w:val="0"/>
              <w:overflowPunct/>
              <w:topLinePunct w:val="0"/>
              <w:bidi w:val="0"/>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9E33BBE">
            <w:pPr>
              <w:keepNext w:val="0"/>
              <w:pageBreakBefore w:val="0"/>
              <w:widowControl w:val="0"/>
              <w:overflowPunct/>
              <w:topLinePunct w:val="0"/>
              <w:bidi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现场踏勘或标前答疑：本项目不组织现场踏勘或标前答疑会。</w:t>
            </w:r>
          </w:p>
        </w:tc>
      </w:tr>
      <w:tr w14:paraId="143D1BA0">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9A5FFD2">
            <w:pPr>
              <w:keepNext w:val="0"/>
              <w:pageBreakBefore w:val="0"/>
              <w:widowControl w:val="0"/>
              <w:overflowPunct/>
              <w:topLinePunct w:val="0"/>
              <w:bidi w:val="0"/>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2F7215E">
            <w:pPr>
              <w:keepNext w:val="0"/>
              <w:pageBreakBefore w:val="0"/>
              <w:widowControl w:val="0"/>
              <w:overflowPunct/>
              <w:topLinePunct w:val="0"/>
              <w:bidi w:val="0"/>
              <w:snapToGrid w:val="0"/>
              <w:spacing w:line="440" w:lineRule="exact"/>
              <w:jc w:val="lef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响应</w:t>
            </w:r>
            <w:r>
              <w:rPr>
                <w:rFonts w:hint="eastAsia" w:ascii="宋体" w:hAnsi="宋体" w:eastAsia="宋体" w:cs="宋体"/>
                <w:color w:val="auto"/>
                <w:highlight w:val="none"/>
              </w:rPr>
              <w:t>文件组成：纸质</w:t>
            </w:r>
            <w:r>
              <w:rPr>
                <w:rFonts w:hint="eastAsia" w:ascii="宋体" w:hAnsi="宋体" w:eastAsia="宋体" w:cs="宋体"/>
                <w:color w:val="auto"/>
                <w:highlight w:val="none"/>
                <w:lang w:val="en-US" w:eastAsia="zh-CN"/>
              </w:rPr>
              <w:t>响应</w:t>
            </w:r>
            <w:r>
              <w:rPr>
                <w:rFonts w:hint="eastAsia" w:ascii="宋体" w:hAnsi="宋体" w:eastAsia="宋体" w:cs="宋体"/>
                <w:color w:val="auto"/>
                <w:highlight w:val="none"/>
              </w:rPr>
              <w:t>文件正本1份</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副本2份</w:t>
            </w:r>
            <w:r>
              <w:rPr>
                <w:rFonts w:hint="eastAsia" w:ascii="宋体" w:hAnsi="宋体" w:eastAsia="宋体" w:cs="宋体"/>
                <w:color w:val="auto"/>
                <w:highlight w:val="none"/>
              </w:rPr>
              <w:t>。</w:t>
            </w:r>
          </w:p>
        </w:tc>
      </w:tr>
      <w:tr w14:paraId="752FAAC6">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1CD2BA7A">
            <w:pPr>
              <w:keepNext w:val="0"/>
              <w:pageBreakBefore w:val="0"/>
              <w:widowControl w:val="0"/>
              <w:overflowPunct/>
              <w:topLinePunct w:val="0"/>
              <w:bidi w:val="0"/>
              <w:snapToGrid w:val="0"/>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66A15F0A">
            <w:pPr>
              <w:keepNext w:val="0"/>
              <w:pageBreakBefore w:val="0"/>
              <w:widowControl w:val="0"/>
              <w:overflowPunct/>
              <w:topLinePunct w:val="0"/>
              <w:bidi w:val="0"/>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截止时间</w:t>
            </w:r>
            <w:r>
              <w:rPr>
                <w:rFonts w:hint="eastAsia" w:ascii="宋体" w:hAnsi="宋体" w:eastAsia="宋体" w:cs="宋体"/>
                <w:color w:val="auto"/>
                <w:kern w:val="0"/>
                <w:szCs w:val="21"/>
                <w:highlight w:val="none"/>
                <w:lang w:val="en-US" w:eastAsia="zh-CN"/>
              </w:rPr>
              <w:t>及开标时间</w:t>
            </w:r>
            <w:r>
              <w:rPr>
                <w:rFonts w:hint="eastAsia" w:ascii="宋体" w:hAnsi="宋体" w:eastAsia="宋体" w:cs="宋体"/>
                <w:color w:val="auto"/>
                <w:kern w:val="0"/>
                <w:szCs w:val="21"/>
                <w:highlight w:val="none"/>
              </w:rPr>
              <w:t>：</w:t>
            </w:r>
            <w:r>
              <w:rPr>
                <w:rFonts w:hint="eastAsia" w:ascii="宋体" w:hAnsi="宋体" w:eastAsia="宋体" w:cs="宋体"/>
                <w:color w:val="auto"/>
                <w:szCs w:val="21"/>
                <w:highlight w:val="none"/>
                <w:lang w:val="en-US" w:eastAsia="zh-CN"/>
              </w:rPr>
              <w:t>另行通知</w:t>
            </w:r>
          </w:p>
          <w:p w14:paraId="2952A193">
            <w:pPr>
              <w:keepNext w:val="0"/>
              <w:pageBreakBefore w:val="0"/>
              <w:widowControl w:val="0"/>
              <w:overflowPunct/>
              <w:topLinePunct w:val="0"/>
              <w:bidi w:val="0"/>
              <w:snapToGrid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文件递交地点</w:t>
            </w:r>
            <w:r>
              <w:rPr>
                <w:rFonts w:hint="eastAsia" w:ascii="宋体" w:hAnsi="宋体" w:eastAsia="宋体" w:cs="宋体"/>
                <w:color w:val="auto"/>
                <w:kern w:val="0"/>
                <w:szCs w:val="21"/>
                <w:highlight w:val="none"/>
                <w:lang w:val="en-US" w:eastAsia="zh-CN"/>
              </w:rPr>
              <w:t>及开标地点</w:t>
            </w:r>
            <w:r>
              <w:rPr>
                <w:rFonts w:hint="eastAsia" w:ascii="宋体" w:hAnsi="宋体" w:eastAsia="宋体" w:cs="宋体"/>
                <w:color w:val="auto"/>
                <w:kern w:val="0"/>
                <w:szCs w:val="21"/>
                <w:highlight w:val="none"/>
              </w:rPr>
              <w:t>：</w:t>
            </w:r>
            <w:r>
              <w:rPr>
                <w:rFonts w:hint="eastAsia" w:ascii="宋体" w:hAnsi="宋体" w:eastAsia="宋体" w:cs="宋体"/>
                <w:color w:val="auto"/>
                <w:szCs w:val="21"/>
                <w:highlight w:val="none"/>
                <w:lang w:val="en-US" w:eastAsia="zh-CN"/>
              </w:rPr>
              <w:t>另行通知</w:t>
            </w:r>
            <w:r>
              <w:rPr>
                <w:rFonts w:hint="eastAsia" w:ascii="宋体" w:hAnsi="宋体" w:eastAsia="宋体" w:cs="宋体"/>
                <w:color w:val="auto"/>
                <w:kern w:val="0"/>
                <w:szCs w:val="21"/>
                <w:highlight w:val="none"/>
              </w:rPr>
              <w:t>。</w:t>
            </w:r>
          </w:p>
        </w:tc>
      </w:tr>
      <w:tr w14:paraId="5E101D7D">
        <w:tblPrEx>
          <w:tblCellMar>
            <w:top w:w="0" w:type="dxa"/>
            <w:left w:w="0" w:type="dxa"/>
            <w:bottom w:w="0" w:type="dxa"/>
            <w:right w:w="0" w:type="dxa"/>
          </w:tblCellMar>
        </w:tblPrEx>
        <w:trPr>
          <w:trHeight w:val="945"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3FC9EA6">
            <w:pPr>
              <w:keepNext w:val="0"/>
              <w:pageBreakBefore w:val="0"/>
              <w:widowControl w:val="0"/>
              <w:overflowPunct/>
              <w:topLinePunct w:val="0"/>
              <w:bidi w:val="0"/>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AB1A796">
            <w:pPr>
              <w:keepNext w:val="0"/>
              <w:pageBreakBefore w:val="0"/>
              <w:widowControl w:val="0"/>
              <w:overflowPunct/>
              <w:topLinePunct w:val="0"/>
              <w:bidi w:val="0"/>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磋商小组</w:t>
            </w:r>
            <w:r>
              <w:rPr>
                <w:rFonts w:hint="eastAsia" w:ascii="宋体" w:hAnsi="宋体" w:eastAsia="宋体" w:cs="宋体"/>
                <w:color w:val="auto"/>
                <w:szCs w:val="21"/>
                <w:highlight w:val="none"/>
              </w:rPr>
              <w:t>成</w:t>
            </w:r>
            <w:r>
              <w:rPr>
                <w:rFonts w:hint="eastAsia" w:ascii="宋体" w:hAnsi="宋体" w:eastAsia="宋体" w:cs="宋体"/>
                <w:color w:val="auto"/>
                <w:kern w:val="0"/>
                <w:szCs w:val="21"/>
                <w:highlight w:val="none"/>
              </w:rPr>
              <w:t>员：</w:t>
            </w:r>
            <w:r>
              <w:rPr>
                <w:rFonts w:hint="eastAsia" w:ascii="宋体" w:hAnsi="宋体" w:eastAsia="宋体" w:cs="宋体"/>
                <w:color w:val="auto"/>
                <w:szCs w:val="21"/>
                <w:highlight w:val="none"/>
                <w:lang w:val="en-US" w:eastAsia="zh-CN"/>
              </w:rPr>
              <w:t>3</w:t>
            </w:r>
            <w:r>
              <w:rPr>
                <w:rFonts w:hint="eastAsia" w:ascii="宋体" w:hAnsi="宋体" w:eastAsia="宋体" w:cs="宋体"/>
                <w:color w:val="auto"/>
                <w:highlight w:val="none"/>
              </w:rPr>
              <w:t>人</w:t>
            </w:r>
            <w:r>
              <w:rPr>
                <w:rFonts w:hint="eastAsia" w:ascii="宋体" w:hAnsi="宋体" w:eastAsia="宋体" w:cs="宋体"/>
                <w:color w:val="auto"/>
                <w:highlight w:val="none"/>
                <w:lang w:val="en-US" w:eastAsia="zh-CN"/>
              </w:rPr>
              <w:t>及以上单数</w:t>
            </w:r>
            <w:r>
              <w:rPr>
                <w:rFonts w:hint="eastAsia" w:ascii="宋体" w:hAnsi="宋体" w:eastAsia="宋体" w:cs="宋体"/>
                <w:color w:val="auto"/>
                <w:kern w:val="0"/>
                <w:szCs w:val="21"/>
                <w:highlight w:val="none"/>
              </w:rPr>
              <w:t>。</w:t>
            </w:r>
          </w:p>
          <w:p w14:paraId="05D582FC">
            <w:pPr>
              <w:keepNext w:val="0"/>
              <w:pageBreakBefore w:val="0"/>
              <w:widowControl w:val="0"/>
              <w:overflowPunct/>
              <w:topLinePunct w:val="0"/>
              <w:bidi w:val="0"/>
              <w:spacing w:line="440" w:lineRule="exact"/>
              <w:jc w:val="left"/>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专家确定方式：</w:t>
            </w:r>
            <w:r>
              <w:rPr>
                <w:rFonts w:hint="eastAsia" w:ascii="宋体" w:hAnsi="宋体" w:eastAsia="宋体" w:cs="宋体"/>
                <w:color w:val="auto"/>
                <w:kern w:val="0"/>
                <w:szCs w:val="21"/>
                <w:highlight w:val="none"/>
              </w:rPr>
              <w:t>由采购人</w:t>
            </w:r>
            <w:r>
              <w:rPr>
                <w:rFonts w:hint="eastAsia" w:ascii="宋体" w:hAnsi="宋体" w:eastAsia="宋体" w:cs="宋体"/>
                <w:color w:val="auto"/>
                <w:kern w:val="0"/>
                <w:szCs w:val="21"/>
                <w:highlight w:val="none"/>
                <w:lang w:val="en-US" w:eastAsia="zh-CN"/>
              </w:rPr>
              <w:t>抽取相关的技术人员组成</w:t>
            </w:r>
            <w:r>
              <w:rPr>
                <w:rFonts w:hint="eastAsia" w:ascii="宋体" w:hAnsi="宋体" w:eastAsia="宋体" w:cs="宋体"/>
                <w:color w:val="auto"/>
                <w:kern w:val="0"/>
                <w:szCs w:val="21"/>
                <w:highlight w:val="none"/>
              </w:rPr>
              <w:t>。</w:t>
            </w:r>
          </w:p>
        </w:tc>
      </w:tr>
      <w:tr w14:paraId="0A1264A6">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DCE24EC">
            <w:pPr>
              <w:keepNext w:val="0"/>
              <w:pageBreakBefore w:val="0"/>
              <w:widowControl w:val="0"/>
              <w:overflowPunct/>
              <w:topLinePunct w:val="0"/>
              <w:bidi w:val="0"/>
              <w:spacing w:line="24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57DBE17">
            <w:pPr>
              <w:keepNext w:val="0"/>
              <w:pageBreakBefore w:val="0"/>
              <w:widowControl w:val="0"/>
              <w:overflowPunct/>
              <w:topLinePunct w:val="0"/>
              <w:bidi w:val="0"/>
              <w:spacing w:line="240" w:lineRule="auto"/>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评标办法：</w:t>
            </w:r>
            <w:r>
              <w:rPr>
                <w:rFonts w:hint="eastAsia" w:ascii="宋体" w:hAnsi="宋体" w:eastAsia="宋体" w:cs="宋体"/>
                <w:color w:val="auto"/>
                <w:kern w:val="0"/>
                <w:szCs w:val="21"/>
                <w:highlight w:val="none"/>
              </w:rPr>
              <w:t>本项目采用</w:t>
            </w:r>
            <w:r>
              <w:rPr>
                <w:rFonts w:hint="eastAsia" w:ascii="宋体" w:hAnsi="宋体" w:eastAsia="宋体" w:cs="宋体"/>
                <w:color w:val="auto"/>
                <w:szCs w:val="21"/>
                <w:highlight w:val="none"/>
              </w:rPr>
              <w:t>综合评分法</w:t>
            </w:r>
            <w:r>
              <w:rPr>
                <w:rFonts w:hint="eastAsia" w:ascii="宋体" w:hAnsi="宋体" w:eastAsia="宋体" w:cs="宋体"/>
                <w:color w:val="auto"/>
                <w:kern w:val="0"/>
                <w:szCs w:val="21"/>
                <w:highlight w:val="none"/>
              </w:rPr>
              <w:t>。</w:t>
            </w:r>
          </w:p>
        </w:tc>
      </w:tr>
      <w:tr w14:paraId="12DC5000">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C16E639">
            <w:pPr>
              <w:keepNext w:val="0"/>
              <w:pageBreakBefore w:val="0"/>
              <w:widowControl w:val="0"/>
              <w:overflowPunct/>
              <w:topLinePunct w:val="0"/>
              <w:bidi w:val="0"/>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6305EFB">
            <w:pPr>
              <w:keepNext w:val="0"/>
              <w:pageBreakBefore w:val="0"/>
              <w:widowControl w:val="0"/>
              <w:overflowPunct/>
              <w:topLinePunct w:val="0"/>
              <w:bidi w:val="0"/>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rPr>
              <w:t>公告及</w:t>
            </w: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rPr>
              <w:t>通知书：由采购人授权磋商小组确定一名</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并推荐</w:t>
            </w:r>
            <w:r>
              <w:rPr>
                <w:rFonts w:hint="eastAsia" w:ascii="宋体" w:hAnsi="宋体" w:cs="宋体"/>
                <w:color w:val="auto"/>
                <w:kern w:val="0"/>
                <w:szCs w:val="21"/>
                <w:highlight w:val="none"/>
                <w:lang w:val="en-US" w:eastAsia="zh-CN"/>
              </w:rPr>
              <w:t>一</w:t>
            </w:r>
            <w:r>
              <w:rPr>
                <w:rFonts w:hint="eastAsia" w:ascii="宋体" w:hAnsi="宋体" w:eastAsia="宋体" w:cs="宋体"/>
                <w:color w:val="auto"/>
                <w:kern w:val="0"/>
                <w:szCs w:val="21"/>
                <w:highlight w:val="none"/>
              </w:rPr>
              <w:t>名</w:t>
            </w:r>
            <w:r>
              <w:rPr>
                <w:rFonts w:hint="eastAsia" w:ascii="宋体" w:hAnsi="宋体" w:eastAsia="宋体" w:cs="宋体"/>
                <w:color w:val="auto"/>
                <w:kern w:val="0"/>
                <w:szCs w:val="21"/>
                <w:highlight w:val="none"/>
                <w:lang w:eastAsia="zh-CN"/>
              </w:rPr>
              <w:t>成交候选供应商</w:t>
            </w:r>
            <w:r>
              <w:rPr>
                <w:rFonts w:hint="eastAsia" w:ascii="宋体" w:hAnsi="宋体" w:eastAsia="宋体" w:cs="宋体"/>
                <w:color w:val="auto"/>
                <w:kern w:val="0"/>
                <w:szCs w:val="21"/>
                <w:highlight w:val="none"/>
              </w:rPr>
              <w:t>。评审结束后在《驻马店市中心医院》官网上发布成交公告，公示期结束后向</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发出成交通知书。</w:t>
            </w:r>
          </w:p>
        </w:tc>
      </w:tr>
      <w:tr w14:paraId="3BF8FBD5">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33462E95">
            <w:pPr>
              <w:keepNext w:val="0"/>
              <w:pageBreakBefore w:val="0"/>
              <w:widowControl w:val="0"/>
              <w:overflowPunct/>
              <w:topLinePunct w:val="0"/>
              <w:bidi w:val="0"/>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7A36C95F">
            <w:pPr>
              <w:keepNext w:val="0"/>
              <w:pageBreakBefore w:val="0"/>
              <w:widowControl w:val="0"/>
              <w:overflowPunct/>
              <w:topLinePunct w:val="0"/>
              <w:bidi w:val="0"/>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签订合同：自</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发出之日起</w:t>
            </w:r>
            <w:r>
              <w:rPr>
                <w:rFonts w:hint="eastAsia" w:ascii="宋体" w:hAnsi="宋体" w:eastAsia="宋体" w:cs="宋体"/>
                <w:color w:val="auto"/>
                <w:kern w:val="0"/>
                <w:szCs w:val="21"/>
                <w:highlight w:val="none"/>
                <w:lang w:val="en-US" w:eastAsia="zh-CN"/>
              </w:rPr>
              <w:t>30日</w:t>
            </w:r>
            <w:r>
              <w:rPr>
                <w:rFonts w:hint="eastAsia" w:ascii="宋体" w:hAnsi="宋体" w:eastAsia="宋体" w:cs="宋体"/>
                <w:color w:val="auto"/>
                <w:kern w:val="0"/>
                <w:szCs w:val="21"/>
                <w:highlight w:val="none"/>
              </w:rPr>
              <w:t>内。</w:t>
            </w:r>
          </w:p>
        </w:tc>
      </w:tr>
      <w:tr w14:paraId="7394CB78">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3C34022">
            <w:pPr>
              <w:keepNext w:val="0"/>
              <w:pageBreakBefore w:val="0"/>
              <w:widowControl w:val="0"/>
              <w:overflowPunct/>
              <w:topLinePunct w:val="0"/>
              <w:bidi w:val="0"/>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EF40002">
            <w:pPr>
              <w:keepNext w:val="0"/>
              <w:pageBreakBefore w:val="0"/>
              <w:widowControl w:val="0"/>
              <w:overflowPunct/>
              <w:topLinePunct w:val="0"/>
              <w:bidi w:val="0"/>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采购资金来源：自筹资金。</w:t>
            </w:r>
          </w:p>
        </w:tc>
      </w:tr>
      <w:tr w14:paraId="193D7C4F">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E928E72">
            <w:pPr>
              <w:keepNext w:val="0"/>
              <w:pageBreakBefore w:val="0"/>
              <w:widowControl w:val="0"/>
              <w:overflowPunct/>
              <w:topLinePunct w:val="0"/>
              <w:bidi w:val="0"/>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2FAB95A3">
            <w:pPr>
              <w:keepNext w:val="0"/>
              <w:pageBreakBefore w:val="0"/>
              <w:widowControl w:val="0"/>
              <w:overflowPunct/>
              <w:topLinePunct w:val="0"/>
              <w:bidi w:val="0"/>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付款方式：详见第二章</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需求。</w:t>
            </w:r>
          </w:p>
        </w:tc>
      </w:tr>
      <w:tr w14:paraId="469CA73C">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74D23B4C">
            <w:pPr>
              <w:keepNext w:val="0"/>
              <w:pageBreakBefore w:val="0"/>
              <w:widowControl w:val="0"/>
              <w:overflowPunct/>
              <w:topLinePunct w:val="0"/>
              <w:bidi w:val="0"/>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4F0B1EE1">
            <w:pPr>
              <w:keepNext w:val="0"/>
              <w:pageBreakBefore w:val="0"/>
              <w:widowControl w:val="0"/>
              <w:overflowPunct/>
              <w:topLinePunct w:val="0"/>
              <w:bidi w:val="0"/>
              <w:spacing w:line="440" w:lineRule="exact"/>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有效期：</w:t>
            </w:r>
            <w:r>
              <w:rPr>
                <w:rFonts w:hint="eastAsia" w:ascii="宋体" w:hAnsi="宋体" w:eastAsia="宋体" w:cs="宋体"/>
                <w:color w:val="auto"/>
                <w:kern w:val="0"/>
                <w:szCs w:val="21"/>
                <w:highlight w:val="none"/>
                <w:lang w:val="en-US" w:eastAsia="zh-CN"/>
              </w:rPr>
              <w:t>响应文件递交</w:t>
            </w:r>
            <w:r>
              <w:rPr>
                <w:rFonts w:hint="eastAsia" w:ascii="宋体" w:hAnsi="宋体" w:eastAsia="宋体" w:cs="宋体"/>
                <w:color w:val="auto"/>
                <w:kern w:val="0"/>
                <w:szCs w:val="21"/>
                <w:highlight w:val="none"/>
              </w:rPr>
              <w:t>截止期结束后</w:t>
            </w:r>
            <w:r>
              <w:rPr>
                <w:rFonts w:hint="eastAsia" w:ascii="宋体" w:hAnsi="宋体" w:eastAsia="宋体" w:cs="宋体"/>
                <w:color w:val="auto"/>
                <w:kern w:val="0"/>
                <w:szCs w:val="21"/>
                <w:highlight w:val="none"/>
                <w:lang w:val="en-US" w:eastAsia="zh-CN"/>
              </w:rPr>
              <w:t>90</w:t>
            </w:r>
            <w:r>
              <w:rPr>
                <w:rFonts w:hint="eastAsia" w:ascii="宋体" w:hAnsi="宋体" w:eastAsia="宋体" w:cs="宋体"/>
                <w:color w:val="auto"/>
                <w:kern w:val="0"/>
                <w:szCs w:val="21"/>
                <w:highlight w:val="none"/>
              </w:rPr>
              <w:t>日。</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文件是合同的组成部分,有效期至合同完全履行止。 </w:t>
            </w:r>
          </w:p>
        </w:tc>
      </w:tr>
      <w:tr w14:paraId="7BAD5911">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0DDFDC3E">
            <w:pPr>
              <w:keepNext w:val="0"/>
              <w:pageBreakBefore w:val="0"/>
              <w:widowControl w:val="0"/>
              <w:overflowPunct/>
              <w:topLinePunct w:val="0"/>
              <w:bidi w:val="0"/>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3ECF5E78">
            <w:pPr>
              <w:pStyle w:val="13"/>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2"/>
                <w:sz w:val="21"/>
                <w:szCs w:val="24"/>
                <w:highlight w:val="none"/>
                <w:lang w:val="en-US" w:eastAsia="zh-CN" w:bidi="ar-SA"/>
              </w:rPr>
              <w:t>磋商开始后,采购人或采购代理机构将通过信用中国网站（www.creditchina.gov.cn）、中国政府采购网网站（www.ccgp.gov.cn）查询供应商是否被列入失信被执行人、重大税收违法失信主体、政府采购严重违法失信行为记录名单，并将查询结果存档。查询之后，网站信息发生的任何变化不再作为评审依据；供应商自行提供的与网站信息不一致的其他证明材料不作为评审依据。</w:t>
            </w:r>
          </w:p>
        </w:tc>
      </w:tr>
      <w:tr w14:paraId="559C11DA">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2FE1F339">
            <w:pPr>
              <w:keepNext w:val="0"/>
              <w:pageBreakBefore w:val="0"/>
              <w:widowControl w:val="0"/>
              <w:overflowPunct/>
              <w:topLinePunct w:val="0"/>
              <w:bidi w:val="0"/>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5AAB57BF">
            <w:pPr>
              <w:keepNext w:val="0"/>
              <w:pageBreakBefore w:val="0"/>
              <w:widowControl w:val="0"/>
              <w:overflowPunct/>
              <w:topLinePunct w:val="0"/>
              <w:bidi w:val="0"/>
              <w:spacing w:line="360" w:lineRule="auto"/>
              <w:jc w:val="left"/>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lang w:val="en-US" w:eastAsia="zh-CN"/>
              </w:rPr>
              <w:t>商品包装和快递包装应符合《商品包装政府采购需求标准（试行）》和《快递包装政府采购需求标准（试行）》规定，并提供相关的检测报告</w:t>
            </w:r>
            <w:r>
              <w:rPr>
                <w:rFonts w:hint="eastAsia" w:ascii="宋体" w:hAnsi="宋体" w:eastAsia="宋体" w:cs="宋体"/>
                <w:color w:val="auto"/>
                <w:szCs w:val="21"/>
                <w:highlight w:val="none"/>
              </w:rPr>
              <w:t>。</w:t>
            </w:r>
          </w:p>
        </w:tc>
      </w:tr>
      <w:tr w14:paraId="73ADF773">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4BE073D7">
            <w:pPr>
              <w:keepNext w:val="0"/>
              <w:pageBreakBefore w:val="0"/>
              <w:widowControl w:val="0"/>
              <w:overflowPunct/>
              <w:topLinePunct w:val="0"/>
              <w:bidi w:val="0"/>
              <w:snapToGrid w:val="0"/>
              <w:spacing w:line="360" w:lineRule="auto"/>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DC2F5E6">
            <w:pPr>
              <w:keepNext w:val="0"/>
              <w:pageBreakBefore w:val="0"/>
              <w:widowControl w:val="0"/>
              <w:overflowPunct/>
              <w:topLinePunct w:val="0"/>
              <w:bidi w:val="0"/>
              <w:spacing w:line="360" w:lineRule="auto"/>
              <w:rPr>
                <w:rFonts w:hint="eastAsia" w:ascii="宋体" w:hAnsi="宋体" w:eastAsia="宋体" w:cs="宋体"/>
                <w:color w:val="auto"/>
                <w:kern w:val="0"/>
                <w:szCs w:val="21"/>
                <w:highlight w:val="none"/>
              </w:rPr>
            </w:pPr>
            <w:r>
              <w:rPr>
                <w:rFonts w:hint="eastAsia" w:ascii="宋体" w:hAnsi="宋体" w:eastAsia="宋体" w:cs="宋体"/>
                <w:bCs/>
                <w:color w:val="auto"/>
                <w:kern w:val="0"/>
                <w:szCs w:val="21"/>
                <w:highlight w:val="none"/>
              </w:rPr>
              <w:t>质疑和投诉：供应商认为</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文件使自己的合法权益受到损害的，</w:t>
            </w:r>
            <w:r>
              <w:rPr>
                <w:rFonts w:hint="eastAsia" w:ascii="宋体" w:hAnsi="宋体" w:eastAsia="宋体" w:cs="宋体"/>
                <w:color w:val="auto"/>
                <w:kern w:val="0"/>
                <w:szCs w:val="21"/>
                <w:highlight w:val="none"/>
              </w:rPr>
              <w:t>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公告期限届满之日(或收到</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文件之日)起</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个工作日之内向</w:t>
            </w:r>
            <w:r>
              <w:rPr>
                <w:rFonts w:hint="eastAsia" w:ascii="宋体" w:hAnsi="宋体" w:eastAsia="宋体" w:cs="宋体"/>
                <w:bCs/>
                <w:color w:val="auto"/>
                <w:kern w:val="0"/>
                <w:szCs w:val="21"/>
                <w:highlight w:val="none"/>
              </w:rPr>
              <w:t>采购人提出质疑；供应商认为</w:t>
            </w:r>
            <w:r>
              <w:rPr>
                <w:rFonts w:hint="eastAsia" w:ascii="宋体" w:hAnsi="宋体" w:eastAsia="宋体" w:cs="宋体"/>
                <w:bCs/>
                <w:color w:val="auto"/>
                <w:kern w:val="0"/>
                <w:szCs w:val="21"/>
                <w:highlight w:val="none"/>
                <w:lang w:eastAsia="zh-CN"/>
              </w:rPr>
              <w:t>磋商</w:t>
            </w:r>
            <w:r>
              <w:rPr>
                <w:rFonts w:hint="eastAsia" w:ascii="宋体" w:hAnsi="宋体" w:eastAsia="宋体" w:cs="宋体"/>
                <w:bCs/>
                <w:color w:val="auto"/>
                <w:kern w:val="0"/>
                <w:szCs w:val="21"/>
                <w:highlight w:val="none"/>
              </w:rPr>
              <w:t>过程和</w:t>
            </w:r>
            <w:r>
              <w:rPr>
                <w:rFonts w:hint="eastAsia" w:ascii="宋体" w:hAnsi="宋体" w:eastAsia="宋体" w:cs="宋体"/>
                <w:bCs/>
                <w:color w:val="auto"/>
                <w:kern w:val="0"/>
                <w:szCs w:val="21"/>
                <w:highlight w:val="none"/>
                <w:lang w:val="en-US" w:eastAsia="zh-CN"/>
              </w:rPr>
              <w:t>成交</w:t>
            </w:r>
            <w:r>
              <w:rPr>
                <w:rFonts w:hint="eastAsia" w:ascii="宋体" w:hAnsi="宋体" w:eastAsia="宋体" w:cs="宋体"/>
                <w:bCs/>
                <w:color w:val="auto"/>
                <w:kern w:val="0"/>
                <w:szCs w:val="21"/>
                <w:highlight w:val="none"/>
              </w:rPr>
              <w:t>结果使自己的合法权益受到损害的，应当在知道或者应知其权益受到损害之日起</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个工作日内提出质疑。</w:t>
            </w:r>
            <w:r>
              <w:rPr>
                <w:rFonts w:hint="eastAsia" w:ascii="宋体" w:hAnsi="宋体" w:eastAsia="宋体" w:cs="宋体"/>
                <w:color w:val="auto"/>
                <w:kern w:val="0"/>
                <w:szCs w:val="21"/>
                <w:highlight w:val="none"/>
              </w:rPr>
              <w:t>逾期不再受理,</w:t>
            </w:r>
            <w:r>
              <w:rPr>
                <w:rFonts w:hint="eastAsia" w:ascii="宋体" w:hAnsi="宋体" w:eastAsia="宋体" w:cs="宋体"/>
                <w:bCs/>
                <w:color w:val="auto"/>
                <w:kern w:val="0"/>
                <w:szCs w:val="21"/>
                <w:highlight w:val="none"/>
              </w:rPr>
              <w:t>供应商在法定质疑期内应一次性提出针对同一采购环节的质疑</w:t>
            </w:r>
            <w:r>
              <w:rPr>
                <w:rFonts w:hint="eastAsia" w:ascii="宋体" w:hAnsi="宋体" w:eastAsia="宋体" w:cs="宋体"/>
                <w:bCs/>
                <w:color w:val="auto"/>
                <w:kern w:val="0"/>
                <w:szCs w:val="21"/>
                <w:highlight w:val="none"/>
                <w:lang w:eastAsia="zh-CN"/>
              </w:rPr>
              <w:t>。</w:t>
            </w:r>
            <w:r>
              <w:rPr>
                <w:rFonts w:hint="eastAsia" w:ascii="宋体" w:hAnsi="宋体" w:eastAsia="宋体" w:cs="宋体"/>
                <w:color w:val="auto"/>
                <w:kern w:val="0"/>
                <w:szCs w:val="21"/>
                <w:highlight w:val="none"/>
              </w:rPr>
              <w:t>供应商对</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的质疑答复不满意,或</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未在规定时间内作出答复的，可以在答复期满后15个工作日内向</w:t>
            </w:r>
            <w:r>
              <w:rPr>
                <w:rFonts w:hint="eastAsia" w:ascii="宋体" w:hAnsi="宋体" w:eastAsia="宋体" w:cs="宋体"/>
                <w:color w:val="auto"/>
                <w:kern w:val="0"/>
                <w:szCs w:val="21"/>
                <w:highlight w:val="none"/>
                <w:lang w:val="en-US" w:eastAsia="zh-CN"/>
              </w:rPr>
              <w:t>医院纪检</w:t>
            </w:r>
            <w:r>
              <w:rPr>
                <w:rFonts w:hint="eastAsia" w:ascii="宋体" w:hAnsi="宋体" w:eastAsia="宋体" w:cs="宋体"/>
                <w:color w:val="auto"/>
                <w:kern w:val="0"/>
                <w:szCs w:val="21"/>
                <w:highlight w:val="none"/>
              </w:rPr>
              <w:t>部门投诉。</w:t>
            </w:r>
          </w:p>
        </w:tc>
      </w:tr>
      <w:tr w14:paraId="71A0F8B1">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14:paraId="52C15D76">
            <w:pPr>
              <w:keepNext w:val="0"/>
              <w:pageBreakBefore w:val="0"/>
              <w:widowControl w:val="0"/>
              <w:overflowPunct/>
              <w:topLinePunct w:val="0"/>
              <w:bidi w:val="0"/>
              <w:spacing w:line="460" w:lineRule="atLeast"/>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14:paraId="18B02A47">
            <w:pPr>
              <w:keepNext w:val="0"/>
              <w:pageBreakBefore w:val="0"/>
              <w:widowControl w:val="0"/>
              <w:overflowPunct/>
              <w:topLinePunct w:val="0"/>
              <w:bidi w:val="0"/>
              <w:spacing w:line="360" w:lineRule="auto"/>
              <w:jc w:val="left"/>
              <w:textAlignment w:val="bottom"/>
              <w:rPr>
                <w:rFonts w:hint="eastAsia" w:ascii="宋体" w:hAnsi="宋体" w:eastAsia="宋体" w:cs="宋体"/>
                <w:color w:val="auto"/>
                <w:highlight w:val="none"/>
              </w:rPr>
            </w:pPr>
            <w:r>
              <w:rPr>
                <w:rFonts w:hint="eastAsia" w:ascii="宋体" w:hAnsi="宋体" w:eastAsia="宋体" w:cs="宋体"/>
                <w:color w:val="auto"/>
                <w:highlight w:val="none"/>
              </w:rPr>
              <w:t>解释：1、构成本</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文件的各个组成文件应互为解释，互为说明；如有不明确或不一致，构成合同文件组成内容的，以合同文件约定内容为准；除</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文件中有特殊规定外，仅适用于招标投标阶段的规定，按</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公告、供应商须知、评标办法、</w:t>
            </w:r>
            <w:r>
              <w:rPr>
                <w:rFonts w:hint="eastAsia" w:ascii="宋体" w:hAnsi="宋体" w:eastAsia="宋体" w:cs="宋体"/>
                <w:color w:val="auto"/>
                <w:highlight w:val="none"/>
                <w:lang w:val="en-US" w:eastAsia="zh-CN"/>
              </w:rPr>
              <w:t>响应</w:t>
            </w:r>
            <w:r>
              <w:rPr>
                <w:rFonts w:hint="eastAsia" w:ascii="宋体" w:hAnsi="宋体" w:eastAsia="宋体" w:cs="宋体"/>
                <w:color w:val="auto"/>
                <w:highlight w:val="none"/>
              </w:rPr>
              <w:t>文件格式的先后顺序解释；同一组成文件中就同一事项的规定或约定不一致的，以编排顺序在后者为准；当</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文件与</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文件的澄清、修改或补充通知就同一内容的表述不一致时，以最后发出的书面文件为准。合同文件约定或后者明显错误的除外。</w:t>
            </w:r>
          </w:p>
          <w:p w14:paraId="7E99CCE5">
            <w:pPr>
              <w:keepNext w:val="0"/>
              <w:pageBreakBefore w:val="0"/>
              <w:widowControl w:val="0"/>
              <w:overflowPunct/>
              <w:topLinePunct w:val="0"/>
              <w:bidi w:val="0"/>
              <w:spacing w:line="360" w:lineRule="auto"/>
              <w:jc w:val="left"/>
              <w:textAlignment w:val="bottom"/>
              <w:rPr>
                <w:rFonts w:hint="eastAsia" w:ascii="宋体" w:hAnsi="宋体" w:eastAsia="宋体" w:cs="宋体"/>
                <w:color w:val="auto"/>
                <w:kern w:val="0"/>
                <w:szCs w:val="21"/>
                <w:highlight w:val="none"/>
              </w:rPr>
            </w:pPr>
            <w:r>
              <w:rPr>
                <w:rFonts w:hint="eastAsia" w:ascii="宋体" w:hAnsi="宋体" w:eastAsia="宋体" w:cs="宋体"/>
                <w:color w:val="auto"/>
                <w:highlight w:val="none"/>
              </w:rPr>
              <w:t>2、本</w:t>
            </w:r>
            <w:r>
              <w:rPr>
                <w:rFonts w:hint="eastAsia" w:ascii="宋体" w:hAnsi="宋体" w:eastAsia="宋体" w:cs="宋体"/>
                <w:color w:val="auto"/>
                <w:highlight w:val="none"/>
                <w:lang w:val="en-US" w:eastAsia="zh-CN"/>
              </w:rPr>
              <w:t>采购</w:t>
            </w:r>
            <w:r>
              <w:rPr>
                <w:rFonts w:hint="eastAsia" w:ascii="宋体" w:hAnsi="宋体" w:eastAsia="宋体" w:cs="宋体"/>
                <w:color w:val="auto"/>
                <w:highlight w:val="none"/>
              </w:rPr>
              <w:t>文件解释权归采购人。</w:t>
            </w:r>
          </w:p>
        </w:tc>
      </w:tr>
    </w:tbl>
    <w:p w14:paraId="004A8D42">
      <w:pPr>
        <w:keepNext w:val="0"/>
        <w:pageBreakBefore w:val="0"/>
        <w:widowControl w:val="0"/>
        <w:overflowPunct/>
        <w:topLinePunct w:val="0"/>
        <w:bidi w:val="0"/>
        <w:rPr>
          <w:rFonts w:hint="eastAsia" w:ascii="宋体" w:hAnsi="宋体" w:eastAsia="宋体" w:cs="宋体"/>
          <w:color w:val="auto"/>
          <w:highlight w:val="none"/>
        </w:rPr>
      </w:pPr>
    </w:p>
    <w:p w14:paraId="4F8DA15F">
      <w:pPr>
        <w:keepNext w:val="0"/>
        <w:keepLines w:val="0"/>
        <w:pageBreakBefore w:val="0"/>
        <w:widowControl w:val="0"/>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color w:val="auto"/>
          <w:kern w:val="0"/>
          <w:sz w:val="24"/>
          <w:highlight w:val="none"/>
        </w:rPr>
      </w:pPr>
      <w:r>
        <w:rPr>
          <w:rFonts w:hint="eastAsia" w:ascii="宋体" w:hAnsi="宋体" w:eastAsia="宋体" w:cs="宋体"/>
          <w:b/>
          <w:bCs/>
          <w:color w:val="auto"/>
          <w:kern w:val="0"/>
          <w:sz w:val="28"/>
          <w:szCs w:val="28"/>
          <w:highlight w:val="none"/>
        </w:rPr>
        <w:t>一 、说 明</w:t>
      </w:r>
    </w:p>
    <w:p w14:paraId="7DC9C2C2">
      <w:pPr>
        <w:keepNext w:val="0"/>
        <w:keepLines w:val="0"/>
        <w:pageBreakBefore w:val="0"/>
        <w:widowControl w:val="0"/>
        <w:kinsoku/>
        <w:wordWrap/>
        <w:overflowPunct/>
        <w:topLinePunct w:val="0"/>
        <w:bidi w:val="0"/>
        <w:snapToGrid w:val="0"/>
        <w:spacing w:line="360" w:lineRule="auto"/>
        <w:ind w:firstLine="42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1.适用范围</w:t>
      </w:r>
    </w:p>
    <w:p w14:paraId="435A7478">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文件仅适用于</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公告中所叙述项目的</w:t>
      </w:r>
      <w:r>
        <w:rPr>
          <w:rFonts w:hint="eastAsia" w:ascii="宋体" w:hAnsi="宋体" w:eastAsia="宋体" w:cs="宋体"/>
          <w:color w:val="auto"/>
          <w:kern w:val="0"/>
          <w:szCs w:val="21"/>
          <w:highlight w:val="none"/>
          <w:lang w:eastAsia="zh-CN"/>
        </w:rPr>
        <w:t>货物</w:t>
      </w:r>
      <w:r>
        <w:rPr>
          <w:rFonts w:hint="eastAsia" w:ascii="宋体" w:hAnsi="宋体" w:eastAsia="宋体" w:cs="宋体"/>
          <w:color w:val="auto"/>
          <w:kern w:val="0"/>
          <w:szCs w:val="21"/>
          <w:highlight w:val="none"/>
        </w:rPr>
        <w:t>采购。</w:t>
      </w:r>
    </w:p>
    <w:p w14:paraId="77A81F5B">
      <w:pPr>
        <w:keepNext w:val="0"/>
        <w:keepLines w:val="0"/>
        <w:pageBreakBefore w:val="0"/>
        <w:widowControl w:val="0"/>
        <w:kinsoku/>
        <w:wordWrap/>
        <w:overflowPunct/>
        <w:topLinePunct w:val="0"/>
        <w:bidi w:val="0"/>
        <w:snapToGrid w:val="0"/>
        <w:spacing w:line="360" w:lineRule="auto"/>
        <w:ind w:firstLine="42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2.定义</w:t>
      </w:r>
    </w:p>
    <w:p w14:paraId="4202E3D3">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2.1 “采购人”系指各级国家机关、事业单位、团体组织。</w:t>
      </w:r>
    </w:p>
    <w:p w14:paraId="4F588BAB">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”系指</w:t>
      </w:r>
      <w:r>
        <w:rPr>
          <w:rFonts w:hint="eastAsia" w:ascii="宋体" w:hAnsi="宋体" w:eastAsia="宋体" w:cs="宋体"/>
          <w:color w:val="auto"/>
          <w:kern w:val="0"/>
          <w:szCs w:val="21"/>
          <w:highlight w:val="none"/>
          <w:lang w:val="en-US" w:eastAsia="zh-CN"/>
        </w:rPr>
        <w:t>领取</w:t>
      </w:r>
      <w:r>
        <w:rPr>
          <w:rFonts w:hint="eastAsia" w:ascii="宋体" w:hAnsi="宋体" w:eastAsia="宋体" w:cs="宋体"/>
          <w:color w:val="auto"/>
          <w:kern w:val="0"/>
          <w:szCs w:val="21"/>
          <w:highlight w:val="none"/>
        </w:rPr>
        <w:t>了本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文件，且已经提交本次</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w:t>
      </w:r>
    </w:p>
    <w:p w14:paraId="097576B3">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2.3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代表”系指代表</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参加本次</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活动的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的法定代表人或其委托代理人。</w:t>
      </w:r>
    </w:p>
    <w:p w14:paraId="6164D786">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2.4 “货物”系指供应商按采购文件规定向采购人提供的一切设备、机械、仪器仪表、备品备件、工具、手册及其它有关技术资料和材料。</w:t>
      </w:r>
    </w:p>
    <w:p w14:paraId="0DA84DA4">
      <w:pPr>
        <w:keepNext w:val="0"/>
        <w:keepLines w:val="0"/>
        <w:pageBreakBefore w:val="0"/>
        <w:widowControl w:val="0"/>
        <w:kinsoku/>
        <w:wordWrap/>
        <w:overflowPunct/>
        <w:topLinePunct w:val="0"/>
        <w:bidi w:val="0"/>
        <w:snapToGrid w:val="0"/>
        <w:spacing w:line="360" w:lineRule="auto"/>
        <w:ind w:firstLine="420"/>
        <w:jc w:val="left"/>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3.采购预算：</w:t>
      </w:r>
      <w:r>
        <w:rPr>
          <w:rFonts w:hint="eastAsia" w:ascii="宋体" w:hAnsi="宋体" w:cs="宋体"/>
          <w:b/>
          <w:bCs/>
          <w:color w:val="auto"/>
          <w:kern w:val="0"/>
          <w:szCs w:val="21"/>
          <w:highlight w:val="none"/>
          <w:lang w:val="en-US" w:eastAsia="zh-CN"/>
        </w:rPr>
        <w:t>15万元</w:t>
      </w:r>
      <w:r>
        <w:rPr>
          <w:rFonts w:hint="eastAsia" w:ascii="宋体" w:hAnsi="宋体" w:eastAsia="宋体" w:cs="宋体"/>
          <w:b/>
          <w:bCs/>
          <w:color w:val="auto"/>
          <w:kern w:val="0"/>
          <w:szCs w:val="21"/>
          <w:highlight w:val="none"/>
          <w:lang w:eastAsia="zh-CN"/>
        </w:rPr>
        <w:t>；最高投标限价</w:t>
      </w:r>
      <w:r>
        <w:rPr>
          <w:rFonts w:hint="eastAsia" w:ascii="宋体" w:hAnsi="宋体" w:eastAsia="宋体" w:cs="宋体"/>
          <w:b/>
          <w:bCs/>
          <w:color w:val="auto"/>
          <w:kern w:val="0"/>
          <w:szCs w:val="21"/>
          <w:highlight w:val="none"/>
          <w:lang w:val="en-US" w:eastAsia="zh-CN"/>
        </w:rPr>
        <w:t>:</w:t>
      </w:r>
      <w:r>
        <w:rPr>
          <w:rFonts w:hint="eastAsia" w:ascii="宋体" w:hAnsi="宋体" w:cs="宋体"/>
          <w:b/>
          <w:bCs/>
          <w:color w:val="auto"/>
          <w:kern w:val="0"/>
          <w:szCs w:val="21"/>
          <w:highlight w:val="none"/>
          <w:lang w:val="en-US" w:eastAsia="zh-CN"/>
        </w:rPr>
        <w:t xml:space="preserve"> 15万元</w:t>
      </w:r>
      <w:r>
        <w:rPr>
          <w:rFonts w:hint="eastAsia" w:ascii="宋体" w:hAnsi="宋体" w:eastAsia="宋体" w:cs="宋体"/>
          <w:b/>
          <w:bCs/>
          <w:color w:val="auto"/>
          <w:kern w:val="0"/>
          <w:szCs w:val="21"/>
          <w:highlight w:val="none"/>
          <w:lang w:eastAsia="zh-CN"/>
        </w:rPr>
        <w:t>；</w:t>
      </w:r>
    </w:p>
    <w:p w14:paraId="2B43457C">
      <w:pPr>
        <w:keepNext w:val="0"/>
        <w:keepLines w:val="0"/>
        <w:pageBreakBefore w:val="0"/>
        <w:widowControl w:val="0"/>
        <w:kinsoku/>
        <w:wordWrap/>
        <w:overflowPunct/>
        <w:topLinePunct w:val="0"/>
        <w:bidi w:val="0"/>
        <w:snapToGrid w:val="0"/>
        <w:spacing w:line="360" w:lineRule="auto"/>
        <w:ind w:firstLine="42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lang w:val="en-US" w:eastAsia="zh-CN"/>
        </w:rPr>
        <w:t>供应商</w:t>
      </w:r>
      <w:r>
        <w:rPr>
          <w:rFonts w:hint="eastAsia" w:ascii="宋体" w:hAnsi="宋体" w:eastAsia="宋体" w:cs="宋体"/>
          <w:b/>
          <w:bCs/>
          <w:color w:val="auto"/>
          <w:kern w:val="0"/>
          <w:szCs w:val="21"/>
          <w:highlight w:val="none"/>
        </w:rPr>
        <w:t>按</w:t>
      </w:r>
      <w:r>
        <w:rPr>
          <w:rFonts w:hint="eastAsia" w:ascii="宋体" w:hAnsi="宋体" w:eastAsia="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rPr>
        <w:t>清单格式分项报价（含税运等全部费用）</w:t>
      </w:r>
    </w:p>
    <w:p w14:paraId="00FE0F48">
      <w:pPr>
        <w:keepNext w:val="0"/>
        <w:keepLines w:val="0"/>
        <w:pageBreakBefore w:val="0"/>
        <w:widowControl w:val="0"/>
        <w:kinsoku/>
        <w:wordWrap/>
        <w:overflowPunct/>
        <w:topLinePunct w:val="0"/>
        <w:bidi w:val="0"/>
        <w:snapToGrid w:val="0"/>
        <w:spacing w:line="360" w:lineRule="auto"/>
        <w:ind w:firstLine="420"/>
        <w:jc w:val="left"/>
        <w:rPr>
          <w:rFonts w:hint="eastAsia" w:ascii="宋体" w:hAnsi="宋体" w:eastAsia="宋体" w:cs="宋体"/>
          <w:color w:val="auto"/>
          <w:szCs w:val="21"/>
          <w:highlight w:val="none"/>
        </w:rPr>
      </w:pPr>
      <w:r>
        <w:rPr>
          <w:rFonts w:hint="eastAsia" w:ascii="宋体" w:hAnsi="宋体" w:eastAsia="宋体" w:cs="宋体"/>
          <w:b/>
          <w:bCs/>
          <w:color w:val="auto"/>
          <w:kern w:val="0"/>
          <w:szCs w:val="21"/>
          <w:highlight w:val="none"/>
        </w:rPr>
        <w:t>4.</w:t>
      </w:r>
      <w:r>
        <w:rPr>
          <w:rFonts w:hint="eastAsia" w:ascii="宋体" w:hAnsi="宋体" w:eastAsia="宋体" w:cs="宋体"/>
          <w:b/>
          <w:bCs/>
          <w:color w:val="auto"/>
          <w:kern w:val="0"/>
          <w:szCs w:val="21"/>
          <w:highlight w:val="none"/>
          <w:lang w:eastAsia="zh-CN"/>
        </w:rPr>
        <w:t>供应商</w:t>
      </w:r>
      <w:r>
        <w:rPr>
          <w:rFonts w:hint="eastAsia" w:ascii="宋体" w:hAnsi="宋体" w:eastAsia="宋体" w:cs="宋体"/>
          <w:b/>
          <w:bCs/>
          <w:color w:val="auto"/>
          <w:kern w:val="0"/>
          <w:szCs w:val="21"/>
          <w:highlight w:val="none"/>
        </w:rPr>
        <w:t>应提交的证明文件</w:t>
      </w:r>
    </w:p>
    <w:p w14:paraId="19C86C53">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w:t>
      </w:r>
      <w:r>
        <w:rPr>
          <w:rFonts w:hint="eastAsia" w:ascii="宋体" w:hAnsi="宋体" w:eastAsia="宋体" w:cs="宋体"/>
          <w:color w:val="auto"/>
          <w:highlight w:val="none"/>
          <w:lang w:val="en-US" w:eastAsia="zh-CN"/>
        </w:rPr>
        <w:t>1</w:t>
      </w:r>
      <w:r>
        <w:rPr>
          <w:rFonts w:hint="eastAsia" w:ascii="宋体" w:hAnsi="宋体" w:cs="宋体"/>
          <w:color w:val="auto"/>
          <w:highlight w:val="none"/>
          <w:lang w:val="en-US" w:eastAsia="zh-CN"/>
        </w:rPr>
        <w:t xml:space="preserve"> </w:t>
      </w:r>
      <w:r>
        <w:rPr>
          <w:rFonts w:hint="eastAsia" w:ascii="宋体" w:hAnsi="宋体" w:eastAsia="宋体" w:cs="宋体"/>
          <w:color w:val="auto"/>
          <w:highlight w:val="none"/>
          <w:lang w:val="en-US" w:eastAsia="zh-CN"/>
        </w:rPr>
        <w:t>供应商应为注册在中华人民共和国境内的，且具有独立承担民事责任能力，提供营业执照或其他证明材料。</w:t>
      </w:r>
    </w:p>
    <w:p w14:paraId="58802A87">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 xml:space="preserve">4.2 </w:t>
      </w:r>
      <w:r>
        <w:rPr>
          <w:rFonts w:hint="eastAsia" w:ascii="宋体" w:hAnsi="宋体" w:eastAsia="宋体" w:cs="宋体"/>
          <w:color w:val="auto"/>
          <w:highlight w:val="none"/>
          <w:lang w:val="en-US" w:eastAsia="zh-CN"/>
        </w:rPr>
        <w:t>供应商应提供2023年</w:t>
      </w:r>
      <w:r>
        <w:rPr>
          <w:rFonts w:hint="eastAsia" w:ascii="宋体" w:hAnsi="宋体" w:cs="宋体"/>
          <w:color w:val="auto"/>
          <w:highlight w:val="none"/>
          <w:lang w:val="en-US" w:eastAsia="zh-CN"/>
        </w:rPr>
        <w:t>或2024年</w:t>
      </w:r>
      <w:r>
        <w:rPr>
          <w:rFonts w:hint="eastAsia" w:ascii="宋体" w:hAnsi="宋体" w:eastAsia="宋体" w:cs="宋体"/>
          <w:color w:val="auto"/>
          <w:highlight w:val="none"/>
          <w:lang w:val="en-US" w:eastAsia="zh-CN"/>
        </w:rPr>
        <w:t>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14:paraId="3D6F05F5">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w:t>
      </w:r>
      <w:r>
        <w:rPr>
          <w:rFonts w:hint="eastAsia" w:ascii="宋体" w:hAnsi="宋体" w:eastAsia="宋体" w:cs="宋体"/>
          <w:color w:val="auto"/>
          <w:highlight w:val="none"/>
          <w:lang w:val="en-US" w:eastAsia="zh-CN"/>
        </w:rPr>
        <w:t>3</w:t>
      </w:r>
      <w:r>
        <w:rPr>
          <w:rFonts w:hint="eastAsia" w:ascii="宋体" w:hAnsi="宋体" w:cs="宋体"/>
          <w:color w:val="auto"/>
          <w:highlight w:val="none"/>
          <w:lang w:val="en-US" w:eastAsia="zh-CN"/>
        </w:rPr>
        <w:t xml:space="preserve"> </w:t>
      </w:r>
      <w:r>
        <w:rPr>
          <w:rFonts w:hint="eastAsia" w:ascii="宋体" w:hAnsi="宋体" w:eastAsia="宋体" w:cs="宋体"/>
          <w:color w:val="auto"/>
          <w:highlight w:val="none"/>
          <w:lang w:val="en-US" w:eastAsia="zh-CN"/>
        </w:rPr>
        <w:t>具有履行合同所必需的设备和专业技术能力（提供书面声明函）；</w:t>
      </w:r>
    </w:p>
    <w:p w14:paraId="29EA037A">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w:t>
      </w:r>
      <w:r>
        <w:rPr>
          <w:rFonts w:hint="eastAsia" w:ascii="宋体" w:hAnsi="宋体" w:eastAsia="宋体" w:cs="宋体"/>
          <w:color w:val="auto"/>
          <w:highlight w:val="none"/>
          <w:lang w:val="en-US" w:eastAsia="zh-CN"/>
        </w:rPr>
        <w:t>4</w:t>
      </w:r>
      <w:r>
        <w:rPr>
          <w:rFonts w:hint="eastAsia" w:ascii="宋体" w:hAnsi="宋体" w:cs="宋体"/>
          <w:color w:val="auto"/>
          <w:highlight w:val="none"/>
          <w:lang w:val="en-US" w:eastAsia="zh-CN"/>
        </w:rPr>
        <w:t xml:space="preserve"> </w:t>
      </w:r>
      <w:r>
        <w:rPr>
          <w:rFonts w:hint="eastAsia" w:ascii="宋体" w:hAnsi="宋体" w:eastAsia="宋体" w:cs="宋体"/>
          <w:color w:val="auto"/>
          <w:highlight w:val="none"/>
          <w:lang w:val="en-US" w:eastAsia="zh-CN"/>
        </w:rPr>
        <w:t>参加本采购活动前三年内，在经营活动中没有重大违法记录（提供书面声明函）；</w:t>
      </w:r>
    </w:p>
    <w:p w14:paraId="20263815">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 xml:space="preserve">4.5 </w:t>
      </w:r>
      <w:r>
        <w:rPr>
          <w:rFonts w:hint="eastAsia" w:ascii="宋体" w:hAnsi="宋体" w:eastAsia="宋体" w:cs="宋体"/>
          <w:color w:val="auto"/>
          <w:highlight w:val="none"/>
          <w:lang w:val="en-US" w:eastAsia="zh-CN"/>
        </w:rPr>
        <w:t>特定资格要求：</w:t>
      </w:r>
    </w:p>
    <w:p w14:paraId="3FAA6B59">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4.5.1 供应商应具备消防设施工程专业承包二级或二级以上企业资质，应具备安全生产许可证。</w:t>
      </w:r>
    </w:p>
    <w:p w14:paraId="66529833">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 xml:space="preserve">4.5.2 </w:t>
      </w:r>
      <w:r>
        <w:rPr>
          <w:rFonts w:hint="eastAsia" w:ascii="宋体" w:hAnsi="宋体" w:eastAsia="宋体" w:cs="宋体"/>
          <w:color w:val="auto"/>
          <w:szCs w:val="21"/>
          <w:highlight w:val="none"/>
          <w:shd w:val="clear" w:color="auto" w:fill="FFFFFF"/>
          <w:lang w:val="en-US" w:eastAsia="zh-CN"/>
        </w:rPr>
        <w:t>拟派项目经理为机电专业二级或二级以上建造师，具备有效的安全生产考核合格证书，并与公司具有劳动合同关系，参加了社会保险(提供近三个月</w:t>
      </w:r>
      <w:r>
        <w:rPr>
          <w:rFonts w:hint="eastAsia" w:ascii="宋体" w:hAnsi="宋体" w:cs="宋体"/>
          <w:color w:val="auto"/>
          <w:szCs w:val="21"/>
          <w:highlight w:val="none"/>
          <w:shd w:val="clear" w:color="auto" w:fill="FFFFFF"/>
          <w:lang w:val="en-US" w:eastAsia="zh-CN"/>
        </w:rPr>
        <w:t>或上季度任一个月</w:t>
      </w:r>
      <w:r>
        <w:rPr>
          <w:rFonts w:hint="eastAsia" w:ascii="宋体" w:hAnsi="宋体" w:eastAsia="宋体" w:cs="宋体"/>
          <w:color w:val="auto"/>
          <w:szCs w:val="21"/>
          <w:highlight w:val="none"/>
          <w:shd w:val="clear" w:color="auto" w:fill="FFFFFF"/>
          <w:lang w:val="en-US" w:eastAsia="zh-CN"/>
        </w:rPr>
        <w:t>的</w:t>
      </w:r>
      <w:r>
        <w:rPr>
          <w:rFonts w:hint="eastAsia" w:ascii="宋体" w:hAnsi="宋体" w:cs="宋体"/>
          <w:color w:val="auto"/>
          <w:szCs w:val="21"/>
          <w:highlight w:val="none"/>
          <w:shd w:val="clear" w:color="auto" w:fill="FFFFFF"/>
          <w:lang w:val="en-US" w:eastAsia="zh-CN"/>
        </w:rPr>
        <w:t>社保</w:t>
      </w:r>
      <w:r>
        <w:rPr>
          <w:rFonts w:hint="eastAsia" w:ascii="宋体" w:hAnsi="宋体" w:eastAsia="宋体" w:cs="宋体"/>
          <w:color w:val="auto"/>
          <w:szCs w:val="21"/>
          <w:highlight w:val="none"/>
          <w:shd w:val="clear" w:color="auto" w:fill="FFFFFF"/>
          <w:lang w:val="en-US" w:eastAsia="zh-CN"/>
        </w:rPr>
        <w:t>证明)。</w:t>
      </w:r>
    </w:p>
    <w:p w14:paraId="75715F22">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 xml:space="preserve">4.6 </w:t>
      </w:r>
      <w:r>
        <w:rPr>
          <w:rFonts w:hint="eastAsia" w:ascii="宋体" w:hAnsi="宋体" w:eastAsia="宋体" w:cs="宋体"/>
          <w:color w:val="auto"/>
          <w:highlight w:val="none"/>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14:paraId="2CA22E6A">
      <w:pPr>
        <w:keepNext w:val="0"/>
        <w:keepLines w:val="0"/>
        <w:pageBreakBefore w:val="0"/>
        <w:widowControl w:val="0"/>
        <w:tabs>
          <w:tab w:val="left" w:pos="840"/>
        </w:tabs>
        <w:kinsoku/>
        <w:overflowPunct/>
        <w:topLinePunct w:val="0"/>
        <w:autoSpaceDE/>
        <w:autoSpaceDN/>
        <w:bidi w:val="0"/>
        <w:snapToGrid w:val="0"/>
        <w:spacing w:line="324" w:lineRule="auto"/>
        <w:ind w:firstLine="420" w:firstLineChars="200"/>
        <w:jc w:val="left"/>
        <w:textAlignment w:val="auto"/>
        <w:rPr>
          <w:rFonts w:hint="eastAsia" w:ascii="宋体" w:hAnsi="宋体" w:cs="宋体"/>
          <w:color w:val="auto"/>
          <w:szCs w:val="21"/>
          <w:highlight w:val="none"/>
          <w:shd w:val="clear" w:color="auto" w:fill="FFFFFF"/>
          <w:lang w:val="en-US" w:eastAsia="zh-CN"/>
        </w:rPr>
      </w:pPr>
      <w:r>
        <w:rPr>
          <w:rFonts w:hint="eastAsia" w:ascii="宋体" w:hAnsi="宋体" w:cs="宋体"/>
          <w:color w:val="auto"/>
          <w:highlight w:val="none"/>
          <w:lang w:val="en-US" w:eastAsia="zh-CN"/>
        </w:rPr>
        <w:t xml:space="preserve">4.7 </w:t>
      </w:r>
      <w:r>
        <w:rPr>
          <w:rFonts w:hint="eastAsia" w:ascii="宋体" w:hAnsi="宋体" w:eastAsia="宋体" w:cs="宋体"/>
          <w:color w:val="auto"/>
          <w:highlight w:val="none"/>
          <w:lang w:val="en-US" w:eastAsia="zh-CN"/>
        </w:rPr>
        <w:t>单位负责人为同一人或者存在直接控股、管理关系的不同供应商，不得参加同一合同项下的磋商（提供书面声明函）。一经发现，将导致投标同时被拒绝。</w:t>
      </w:r>
    </w:p>
    <w:p w14:paraId="24C9545E">
      <w:pPr>
        <w:keepNext w:val="0"/>
        <w:keepLines w:val="0"/>
        <w:pageBreakBefore w:val="0"/>
        <w:widowControl w:val="0"/>
        <w:kinsoku/>
        <w:wordWrap/>
        <w:overflowPunct/>
        <w:topLinePunct w:val="0"/>
        <w:bidi w:val="0"/>
        <w:snapToGrid w:val="0"/>
        <w:spacing w:line="360" w:lineRule="auto"/>
        <w:ind w:firstLine="420"/>
        <w:jc w:val="left"/>
        <w:textAlignment w:val="auto"/>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5.投标费用</w:t>
      </w:r>
    </w:p>
    <w:p w14:paraId="46861BDF">
      <w:pPr>
        <w:keepNext w:val="0"/>
        <w:keepLines w:val="0"/>
        <w:pageBreakBefore w:val="0"/>
        <w:widowControl w:val="0"/>
        <w:kinsoku/>
        <w:wordWrap/>
        <w:overflowPunct/>
        <w:topLinePunct w:val="0"/>
        <w:bidi w:val="0"/>
        <w:snapToGrid w:val="0"/>
        <w:spacing w:line="360" w:lineRule="auto"/>
        <w:ind w:firstLine="48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不论投标结果如何，</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均应自行承担所有与投标有关的全部费用。</w:t>
      </w:r>
    </w:p>
    <w:p w14:paraId="236EBBF2">
      <w:pPr>
        <w:keepNext w:val="0"/>
        <w:keepLines w:val="0"/>
        <w:pageBreakBefore w:val="0"/>
        <w:widowControl w:val="0"/>
        <w:kinsoku/>
        <w:wordWrap/>
        <w:overflowPunct/>
        <w:topLinePunct w:val="0"/>
        <w:bidi w:val="0"/>
        <w:snapToGrid w:val="0"/>
        <w:spacing w:line="360" w:lineRule="auto"/>
        <w:ind w:firstLine="420"/>
        <w:jc w:val="left"/>
        <w:textAlignment w:val="auto"/>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6.联合体投标：本项目不接受联合体投标。</w:t>
      </w:r>
    </w:p>
    <w:p w14:paraId="6AABC436">
      <w:pPr>
        <w:keepNext w:val="0"/>
        <w:keepLines w:val="0"/>
        <w:pageBreakBefore w:val="0"/>
        <w:widowControl w:val="0"/>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7.关联企业投标</w:t>
      </w:r>
    </w:p>
    <w:p w14:paraId="4732FE9C">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7.1 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14:paraId="7C91C9E1">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w:t>
      </w:r>
      <w:r>
        <w:rPr>
          <w:rFonts w:hint="eastAsia" w:ascii="宋体" w:hAnsi="宋体" w:eastAsia="宋体" w:cs="宋体"/>
          <w:color w:val="auto"/>
          <w:kern w:val="0"/>
          <w:szCs w:val="21"/>
          <w:highlight w:val="none"/>
          <w:lang w:eastAsia="zh-CN"/>
        </w:rPr>
        <w:t>。</w:t>
      </w:r>
    </w:p>
    <w:p w14:paraId="39BDC3BC">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7.3 为采购项目提供整体设计、规范编制或者项目管理、监理、检测等服务的供应商，不得再参加该采购项目的投标活动。</w:t>
      </w:r>
    </w:p>
    <w:p w14:paraId="5F92A553">
      <w:pPr>
        <w:keepNext w:val="0"/>
        <w:keepLines w:val="0"/>
        <w:pageBreakBefore w:val="0"/>
        <w:widowControl w:val="0"/>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8.转包与分包</w:t>
      </w:r>
    </w:p>
    <w:p w14:paraId="4B9EEE6A">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8.1本项目不允许采取转包方式履行合同。</w:t>
      </w:r>
    </w:p>
    <w:p w14:paraId="69C0C2E3">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8.2本项目不允许采取分包方式履行合同。</w:t>
      </w:r>
    </w:p>
    <w:p w14:paraId="49F7664F">
      <w:pPr>
        <w:keepNext w:val="0"/>
        <w:keepLines w:val="0"/>
        <w:pageBreakBefore w:val="0"/>
        <w:widowControl w:val="0"/>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9.特别说明：</w:t>
      </w:r>
    </w:p>
    <w:p w14:paraId="5279C41E">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9.1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投标所使用的资格、信誉、荣誉、业绩与企业认证必须为本法人所拥有。  </w:t>
      </w:r>
    </w:p>
    <w:p w14:paraId="3FFD5AF9">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9.2</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代表只能接受一个</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的委托参加投标。</w:t>
      </w:r>
    </w:p>
    <w:p w14:paraId="500AF1D9">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9.3</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《政府采购法》第二十二条第五款“参加政府采购活动前三年内，在经营活动中没有重大违法记录”，“重大违法记录”包括</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或者其法定代表人、董事、监事、高级管理人员因经营活动中的违法行为受到行政处罚，但警告和罚款额在人民币3万元以下的行政处罚除外；</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或其法定代表人、董事、监事、高级管理人员因经营活动中的违法行为受到刑事处罚。</w:t>
      </w:r>
    </w:p>
    <w:p w14:paraId="4B293B5B">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9.4</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在投标活动中提供虚假材料或从事其他违法活动的,其投标无效，由相关部门查处。</w:t>
      </w:r>
    </w:p>
    <w:p w14:paraId="4475F426">
      <w:pPr>
        <w:keepNext w:val="0"/>
        <w:keepLines w:val="0"/>
        <w:pageBreakBefore w:val="0"/>
        <w:widowControl w:val="0"/>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10.质疑和投诉</w:t>
      </w:r>
    </w:p>
    <w:p w14:paraId="67F90B24">
      <w:pPr>
        <w:keepNext w:val="0"/>
        <w:keepLines w:val="0"/>
        <w:pageBreakBefore w:val="0"/>
        <w:widowControl w:val="0"/>
        <w:kinsoku/>
        <w:wordWrap/>
        <w:overflowPunct/>
        <w:topLinePunct w:val="0"/>
        <w:bidi w:val="0"/>
        <w:snapToGrid w:val="0"/>
        <w:spacing w:line="360" w:lineRule="auto"/>
        <w:ind w:firstLine="411" w:firstLineChars="196"/>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10.1</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bCs/>
          <w:color w:val="auto"/>
          <w:kern w:val="0"/>
          <w:szCs w:val="21"/>
          <w:highlight w:val="none"/>
        </w:rPr>
        <w:t>供应商认为</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文件使自己的合法权益受到损害的，</w:t>
      </w:r>
      <w:r>
        <w:rPr>
          <w:rFonts w:hint="eastAsia" w:ascii="宋体" w:hAnsi="宋体" w:eastAsia="宋体" w:cs="宋体"/>
          <w:color w:val="auto"/>
          <w:kern w:val="0"/>
          <w:szCs w:val="21"/>
          <w:highlight w:val="none"/>
        </w:rPr>
        <w:t>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公告期限届满之日(或收到</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文件之日)起</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个工作日之内向</w:t>
      </w:r>
      <w:r>
        <w:rPr>
          <w:rFonts w:hint="eastAsia" w:ascii="宋体" w:hAnsi="宋体" w:eastAsia="宋体" w:cs="宋体"/>
          <w:bCs/>
          <w:color w:val="auto"/>
          <w:kern w:val="0"/>
          <w:szCs w:val="21"/>
          <w:highlight w:val="none"/>
        </w:rPr>
        <w:t>采购人提出质疑；供应商认为</w:t>
      </w:r>
      <w:r>
        <w:rPr>
          <w:rFonts w:hint="eastAsia" w:ascii="宋体" w:hAnsi="宋体" w:eastAsia="宋体" w:cs="宋体"/>
          <w:bCs/>
          <w:color w:val="auto"/>
          <w:kern w:val="0"/>
          <w:szCs w:val="21"/>
          <w:highlight w:val="none"/>
          <w:lang w:eastAsia="zh-CN"/>
        </w:rPr>
        <w:t>磋商</w:t>
      </w:r>
      <w:r>
        <w:rPr>
          <w:rFonts w:hint="eastAsia" w:ascii="宋体" w:hAnsi="宋体" w:eastAsia="宋体" w:cs="宋体"/>
          <w:bCs/>
          <w:color w:val="auto"/>
          <w:kern w:val="0"/>
          <w:szCs w:val="21"/>
          <w:highlight w:val="none"/>
        </w:rPr>
        <w:t>过程和</w:t>
      </w:r>
      <w:r>
        <w:rPr>
          <w:rFonts w:hint="eastAsia" w:ascii="宋体" w:hAnsi="宋体" w:cs="宋体"/>
          <w:bCs/>
          <w:color w:val="auto"/>
          <w:kern w:val="0"/>
          <w:szCs w:val="21"/>
          <w:highlight w:val="none"/>
          <w:lang w:eastAsia="zh-CN"/>
        </w:rPr>
        <w:t>成交</w:t>
      </w:r>
      <w:r>
        <w:rPr>
          <w:rFonts w:hint="eastAsia" w:ascii="宋体" w:hAnsi="宋体" w:eastAsia="宋体" w:cs="宋体"/>
          <w:bCs/>
          <w:color w:val="auto"/>
          <w:kern w:val="0"/>
          <w:szCs w:val="21"/>
          <w:highlight w:val="none"/>
        </w:rPr>
        <w:t>结果使自己的合法权益受到损害的，应当在知道或者应知其权益受到损害之日起</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个工作日内提出质疑。</w:t>
      </w:r>
      <w:r>
        <w:rPr>
          <w:rFonts w:hint="eastAsia" w:ascii="宋体" w:hAnsi="宋体" w:eastAsia="宋体" w:cs="宋体"/>
          <w:color w:val="auto"/>
          <w:kern w:val="0"/>
          <w:szCs w:val="21"/>
          <w:highlight w:val="none"/>
        </w:rPr>
        <w:t>逾期不再受理,</w:t>
      </w:r>
      <w:r>
        <w:rPr>
          <w:rFonts w:hint="eastAsia" w:ascii="宋体" w:hAnsi="宋体" w:eastAsia="宋体" w:cs="宋体"/>
          <w:bCs/>
          <w:color w:val="auto"/>
          <w:kern w:val="0"/>
          <w:szCs w:val="21"/>
          <w:highlight w:val="none"/>
        </w:rPr>
        <w:t>供应商在法定质疑期内应一次性提出针对同一采购环节的质疑。</w:t>
      </w:r>
      <w:r>
        <w:rPr>
          <w:rFonts w:hint="eastAsia" w:ascii="宋体" w:hAnsi="宋体" w:eastAsia="宋体" w:cs="宋体"/>
          <w:color w:val="auto"/>
          <w:kern w:val="0"/>
          <w:szCs w:val="21"/>
          <w:highlight w:val="none"/>
        </w:rPr>
        <w:t>供应商对</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的质疑答复不满意,或</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未在规定时间内作出答复的，可以在答复期满后15个工作日内向</w:t>
      </w:r>
      <w:r>
        <w:rPr>
          <w:rFonts w:hint="eastAsia" w:ascii="宋体" w:hAnsi="宋体" w:eastAsia="宋体" w:cs="宋体"/>
          <w:color w:val="auto"/>
          <w:kern w:val="0"/>
          <w:szCs w:val="21"/>
          <w:highlight w:val="none"/>
          <w:lang w:val="en-US" w:eastAsia="zh-CN"/>
        </w:rPr>
        <w:t>医院纪检</w:t>
      </w:r>
      <w:r>
        <w:rPr>
          <w:rFonts w:hint="eastAsia" w:ascii="宋体" w:hAnsi="宋体" w:eastAsia="宋体" w:cs="宋体"/>
          <w:color w:val="auto"/>
          <w:kern w:val="0"/>
          <w:szCs w:val="21"/>
          <w:highlight w:val="none"/>
        </w:rPr>
        <w:t>部门投诉。</w:t>
      </w:r>
    </w:p>
    <w:p w14:paraId="3703C477">
      <w:pPr>
        <w:keepNext w:val="0"/>
        <w:keepLines w:val="0"/>
        <w:pageBreakBefore w:val="0"/>
        <w:widowControl w:val="0"/>
        <w:shd w:val="clear" w:color="auto" w:fill="FFFFFF"/>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10.2</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bCs/>
          <w:color w:val="auto"/>
          <w:kern w:val="0"/>
          <w:szCs w:val="21"/>
          <w:highlight w:val="none"/>
        </w:rPr>
        <w:t>质疑、投诉应当采用书面形式，质疑书、投诉书均应明确阐述</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w:t>
      </w:r>
      <w:r>
        <w:rPr>
          <w:rFonts w:hint="eastAsia" w:ascii="宋体" w:hAnsi="宋体" w:eastAsia="宋体" w:cs="宋体"/>
          <w:bCs/>
          <w:color w:val="auto"/>
          <w:kern w:val="0"/>
          <w:szCs w:val="21"/>
          <w:highlight w:val="none"/>
          <w:lang w:eastAsia="zh-CN"/>
        </w:rPr>
        <w:t>磋商</w:t>
      </w:r>
      <w:r>
        <w:rPr>
          <w:rFonts w:hint="eastAsia" w:ascii="宋体" w:hAnsi="宋体" w:eastAsia="宋体" w:cs="宋体"/>
          <w:bCs/>
          <w:color w:val="auto"/>
          <w:kern w:val="0"/>
          <w:szCs w:val="21"/>
          <w:highlight w:val="none"/>
        </w:rPr>
        <w:t>过程和</w:t>
      </w:r>
      <w:r>
        <w:rPr>
          <w:rFonts w:hint="eastAsia" w:ascii="宋体" w:hAnsi="宋体" w:cs="宋体"/>
          <w:bCs/>
          <w:color w:val="auto"/>
          <w:kern w:val="0"/>
          <w:szCs w:val="21"/>
          <w:highlight w:val="none"/>
          <w:lang w:eastAsia="zh-CN"/>
        </w:rPr>
        <w:t>成交</w:t>
      </w:r>
      <w:r>
        <w:rPr>
          <w:rFonts w:hint="eastAsia" w:ascii="宋体" w:hAnsi="宋体" w:eastAsia="宋体" w:cs="宋体"/>
          <w:bCs/>
          <w:color w:val="auto"/>
          <w:kern w:val="0"/>
          <w:szCs w:val="21"/>
          <w:highlight w:val="none"/>
        </w:rPr>
        <w:t>结果中使自己合法权益受到损害的实质性内容，提供相关事实、依据和证据及其来源或线索，便于有关单位调查、答复和处理。</w:t>
      </w:r>
    </w:p>
    <w:p w14:paraId="0D0A6C63">
      <w:pPr>
        <w:keepNext w:val="0"/>
        <w:keepLines w:val="0"/>
        <w:pageBreakBefore w:val="0"/>
        <w:widowControl w:val="0"/>
        <w:kinsoku/>
        <w:wordWrap/>
        <w:overflowPunct/>
        <w:topLinePunct w:val="0"/>
        <w:bidi w:val="0"/>
        <w:snapToGrid w:val="0"/>
        <w:spacing w:line="360" w:lineRule="auto"/>
        <w:ind w:firstLine="42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11.</w:t>
      </w:r>
      <w:r>
        <w:rPr>
          <w:rFonts w:hint="eastAsia" w:ascii="宋体" w:hAnsi="宋体" w:eastAsia="宋体" w:cs="宋体"/>
          <w:b/>
          <w:bCs/>
          <w:color w:val="auto"/>
          <w:kern w:val="0"/>
          <w:szCs w:val="21"/>
          <w:highlight w:val="none"/>
          <w:lang w:eastAsia="zh-CN"/>
        </w:rPr>
        <w:t>供应商</w:t>
      </w:r>
      <w:r>
        <w:rPr>
          <w:rFonts w:hint="eastAsia" w:ascii="宋体" w:hAnsi="宋体" w:eastAsia="宋体" w:cs="宋体"/>
          <w:b/>
          <w:bCs/>
          <w:color w:val="auto"/>
          <w:kern w:val="0"/>
          <w:szCs w:val="21"/>
          <w:highlight w:val="none"/>
        </w:rPr>
        <w:t>的风险</w:t>
      </w:r>
    </w:p>
    <w:p w14:paraId="62D38B51">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没有按照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文件要求提供全部资料，或者</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没有对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文件在各方面都作出实质性响应是</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的风险，并可能导致其投标被拒绝。</w:t>
      </w:r>
    </w:p>
    <w:p w14:paraId="4E127A4C">
      <w:pPr>
        <w:keepNext w:val="0"/>
        <w:keepLines w:val="0"/>
        <w:pageBreakBefore w:val="0"/>
        <w:widowControl w:val="0"/>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二、</w:t>
      </w:r>
      <w:r>
        <w:rPr>
          <w:rFonts w:hint="eastAsia" w:ascii="宋体" w:hAnsi="宋体" w:eastAsia="宋体" w:cs="宋体"/>
          <w:b/>
          <w:bCs/>
          <w:color w:val="auto"/>
          <w:kern w:val="0"/>
          <w:sz w:val="28"/>
          <w:szCs w:val="28"/>
          <w:highlight w:val="none"/>
          <w:lang w:val="en-US" w:eastAsia="zh-CN"/>
        </w:rPr>
        <w:t>采购</w:t>
      </w:r>
      <w:r>
        <w:rPr>
          <w:rFonts w:hint="eastAsia" w:ascii="宋体" w:hAnsi="宋体" w:eastAsia="宋体" w:cs="宋体"/>
          <w:b/>
          <w:bCs/>
          <w:color w:val="auto"/>
          <w:kern w:val="0"/>
          <w:sz w:val="28"/>
          <w:szCs w:val="28"/>
          <w:highlight w:val="none"/>
        </w:rPr>
        <w:t>文件</w:t>
      </w:r>
    </w:p>
    <w:p w14:paraId="4347A510">
      <w:pPr>
        <w:keepNext w:val="0"/>
        <w:keepLines w:val="0"/>
        <w:pageBreakBefore w:val="0"/>
        <w:widowControl w:val="0"/>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12.</w:t>
      </w:r>
      <w:r>
        <w:rPr>
          <w:rFonts w:hint="eastAsia" w:ascii="宋体" w:hAnsi="宋体" w:eastAsia="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rPr>
        <w:t>文件的构成。本</w:t>
      </w:r>
      <w:r>
        <w:rPr>
          <w:rFonts w:hint="eastAsia" w:ascii="宋体" w:hAnsi="宋体" w:eastAsia="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rPr>
        <w:t>文件由以下部分组成：</w:t>
      </w:r>
    </w:p>
    <w:p w14:paraId="660425B1">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12.1 </w:t>
      </w:r>
      <w:r>
        <w:rPr>
          <w:rFonts w:hint="eastAsia" w:ascii="宋体" w:hAnsi="宋体" w:eastAsia="宋体" w:cs="宋体"/>
          <w:color w:val="auto"/>
          <w:kern w:val="0"/>
          <w:szCs w:val="21"/>
          <w:highlight w:val="none"/>
          <w:lang w:val="en-US" w:eastAsia="zh-CN"/>
        </w:rPr>
        <w:t>竞争性磋商</w:t>
      </w:r>
      <w:r>
        <w:rPr>
          <w:rFonts w:hint="eastAsia" w:ascii="宋体" w:hAnsi="宋体" w:eastAsia="宋体" w:cs="宋体"/>
          <w:color w:val="auto"/>
          <w:kern w:val="0"/>
          <w:szCs w:val="21"/>
          <w:highlight w:val="none"/>
        </w:rPr>
        <w:t>公告</w:t>
      </w:r>
    </w:p>
    <w:p w14:paraId="4497941A">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12.2 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需求</w:t>
      </w:r>
    </w:p>
    <w:p w14:paraId="544D4B90">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12.3 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w:t>
      </w:r>
    </w:p>
    <w:p w14:paraId="4106BF89">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12.4 评标办法</w:t>
      </w:r>
    </w:p>
    <w:p w14:paraId="56F023D3">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12.5 合同主要条款</w:t>
      </w:r>
    </w:p>
    <w:p w14:paraId="3232DE33">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12.6 </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文件格式</w:t>
      </w:r>
    </w:p>
    <w:p w14:paraId="2E308332">
      <w:pPr>
        <w:keepNext w:val="0"/>
        <w:keepLines w:val="0"/>
        <w:pageBreakBefore w:val="0"/>
        <w:widowControl w:val="0"/>
        <w:kinsoku/>
        <w:wordWrap/>
        <w:overflowPunct/>
        <w:topLinePunct w:val="0"/>
        <w:bidi w:val="0"/>
        <w:snapToGrid w:val="0"/>
        <w:spacing w:line="360" w:lineRule="auto"/>
        <w:ind w:firstLine="417" w:firstLineChars="198"/>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13.</w:t>
      </w:r>
      <w:r>
        <w:rPr>
          <w:rFonts w:hint="eastAsia" w:ascii="宋体" w:hAnsi="宋体" w:eastAsia="宋体" w:cs="宋体"/>
          <w:b/>
          <w:bCs/>
          <w:color w:val="auto"/>
          <w:kern w:val="0"/>
          <w:szCs w:val="21"/>
          <w:highlight w:val="none"/>
          <w:lang w:val="en-US" w:eastAsia="zh-CN"/>
        </w:rPr>
        <w:t>采购</w:t>
      </w:r>
      <w:r>
        <w:rPr>
          <w:rFonts w:hint="eastAsia" w:ascii="宋体" w:hAnsi="宋体" w:eastAsia="宋体" w:cs="宋体"/>
          <w:b/>
          <w:bCs/>
          <w:color w:val="auto"/>
          <w:kern w:val="0"/>
          <w:szCs w:val="21"/>
          <w:highlight w:val="none"/>
        </w:rPr>
        <w:t>文件的澄清与修改</w:t>
      </w:r>
    </w:p>
    <w:p w14:paraId="09338CC5">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13.1 </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对已发出的</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文件进行必要澄清、修改或补充的，应当在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文件要求提交</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文件截止时间</w:t>
      </w:r>
      <w:r>
        <w:rPr>
          <w:rFonts w:hint="eastAsia" w:ascii="宋体" w:hAnsi="宋体" w:eastAsia="宋体" w:cs="宋体"/>
          <w:color w:val="auto"/>
          <w:kern w:val="0"/>
          <w:szCs w:val="21"/>
          <w:highlight w:val="none"/>
          <w:lang w:val="en-US" w:eastAsia="zh-CN"/>
        </w:rPr>
        <w:t>3</w:t>
      </w:r>
      <w:r>
        <w:rPr>
          <w:rFonts w:hint="eastAsia" w:ascii="宋体" w:hAnsi="宋体" w:eastAsia="宋体" w:cs="宋体"/>
          <w:bCs/>
          <w:color w:val="auto"/>
          <w:kern w:val="0"/>
          <w:szCs w:val="21"/>
          <w:highlight w:val="none"/>
        </w:rPr>
        <w:t>日</w:t>
      </w:r>
      <w:r>
        <w:rPr>
          <w:rFonts w:hint="eastAsia" w:ascii="宋体" w:hAnsi="宋体" w:eastAsia="宋体" w:cs="宋体"/>
          <w:color w:val="auto"/>
          <w:kern w:val="0"/>
          <w:szCs w:val="21"/>
          <w:highlight w:val="none"/>
        </w:rPr>
        <w:t>前，在</w:t>
      </w:r>
      <w:r>
        <w:rPr>
          <w:rFonts w:hint="eastAsia" w:ascii="宋体" w:hAnsi="宋体" w:eastAsia="宋体" w:cs="宋体"/>
          <w:color w:val="auto"/>
          <w:kern w:val="0"/>
          <w:szCs w:val="21"/>
          <w:highlight w:val="none"/>
          <w:lang w:val="en-US" w:eastAsia="zh-CN"/>
        </w:rPr>
        <w:t>原采购公告发布</w:t>
      </w:r>
      <w:r>
        <w:rPr>
          <w:rFonts w:hint="eastAsia" w:ascii="宋体" w:hAnsi="宋体" w:eastAsia="宋体" w:cs="宋体"/>
          <w:color w:val="auto"/>
          <w:kern w:val="0"/>
          <w:szCs w:val="21"/>
          <w:highlight w:val="none"/>
        </w:rPr>
        <w:t>相关媒体上发布更正公告或变更公告。</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文件公示期间对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文件进行的澄清、修改或补充不受上述限制。</w:t>
      </w:r>
    </w:p>
    <w:p w14:paraId="0B46D5AC">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13.2 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文件澄清、修改或补充的内容为</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文件的组成部分。</w:t>
      </w:r>
    </w:p>
    <w:p w14:paraId="6E0FAEED">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13.3 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文件的澄清、修改或补充都应以法定形式发布。采购人未对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文件进行的澄清、修改或补充无效，评标时不予认可。</w:t>
      </w:r>
    </w:p>
    <w:p w14:paraId="44B2FFC3">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13.4 </w:t>
      </w: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可以视</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具体情况延长</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截止时间和</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时间，但至少应当在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文件要求提交</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文件的截止时间3</w:t>
      </w:r>
      <w:r>
        <w:rPr>
          <w:rFonts w:hint="eastAsia" w:ascii="宋体" w:hAnsi="宋体" w:eastAsia="宋体" w:cs="宋体"/>
          <w:bCs/>
          <w:color w:val="auto"/>
          <w:kern w:val="0"/>
          <w:szCs w:val="21"/>
          <w:highlight w:val="none"/>
        </w:rPr>
        <w:t>日</w:t>
      </w:r>
      <w:r>
        <w:rPr>
          <w:rFonts w:hint="eastAsia" w:ascii="宋体" w:hAnsi="宋体" w:eastAsia="宋体" w:cs="宋体"/>
          <w:color w:val="auto"/>
          <w:kern w:val="0"/>
          <w:szCs w:val="21"/>
          <w:highlight w:val="none"/>
        </w:rPr>
        <w:t>前，将变更时间</w:t>
      </w:r>
      <w:r>
        <w:rPr>
          <w:rFonts w:hint="eastAsia" w:ascii="宋体" w:hAnsi="宋体" w:eastAsia="宋体" w:cs="宋体"/>
          <w:color w:val="auto"/>
          <w:kern w:val="0"/>
          <w:szCs w:val="21"/>
          <w:highlight w:val="none"/>
          <w:lang w:val="en-US" w:eastAsia="zh-CN"/>
        </w:rPr>
        <w:t>通知所有潜在供应商</w:t>
      </w:r>
      <w:r>
        <w:rPr>
          <w:rFonts w:hint="eastAsia" w:ascii="宋体" w:hAnsi="宋体" w:eastAsia="宋体" w:cs="宋体"/>
          <w:color w:val="auto"/>
          <w:kern w:val="0"/>
          <w:szCs w:val="21"/>
          <w:highlight w:val="none"/>
        </w:rPr>
        <w:t>。</w:t>
      </w:r>
    </w:p>
    <w:p w14:paraId="0F8C3915">
      <w:pPr>
        <w:keepNext w:val="0"/>
        <w:keepLines w:val="0"/>
        <w:pageBreakBefore w:val="0"/>
        <w:widowControl w:val="0"/>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三、</w:t>
      </w:r>
      <w:r>
        <w:rPr>
          <w:rFonts w:hint="eastAsia" w:ascii="宋体" w:hAnsi="宋体" w:eastAsia="宋体" w:cs="宋体"/>
          <w:b/>
          <w:bCs/>
          <w:color w:val="auto"/>
          <w:kern w:val="0"/>
          <w:sz w:val="28"/>
          <w:szCs w:val="28"/>
          <w:highlight w:val="none"/>
          <w:lang w:val="en-US" w:eastAsia="zh-CN"/>
        </w:rPr>
        <w:t>响应</w:t>
      </w:r>
      <w:r>
        <w:rPr>
          <w:rFonts w:hint="eastAsia" w:ascii="宋体" w:hAnsi="宋体" w:eastAsia="宋体" w:cs="宋体"/>
          <w:b/>
          <w:bCs/>
          <w:color w:val="auto"/>
          <w:kern w:val="0"/>
          <w:sz w:val="28"/>
          <w:szCs w:val="28"/>
          <w:highlight w:val="none"/>
        </w:rPr>
        <w:t>文件的编制</w:t>
      </w:r>
    </w:p>
    <w:p w14:paraId="4004540C">
      <w:pPr>
        <w:keepNext w:val="0"/>
        <w:keepLines w:val="0"/>
        <w:pageBreakBefore w:val="0"/>
        <w:widowControl w:val="0"/>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14.要求</w:t>
      </w:r>
    </w:p>
    <w:p w14:paraId="683EEFD6">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14.1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应仔细阅读</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文件的所有内容，按照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文件提供的格式编写</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文件，不得缺少或留空任何</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文件要求填写的表格或提交的资料。</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文件提供格式的按格式填列，未提供格式的可自行拟定。</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文件应对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文件的要求作出实质性响应（包括</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资格要求、技术要求、商务要求和</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文件格式中对</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的要求），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对所提供的全部资料的合法性、真实性负责。</w:t>
      </w:r>
    </w:p>
    <w:p w14:paraId="0F677CDE">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14.2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应完整签署</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文件格式附件中《</w:t>
      </w:r>
      <w:r>
        <w:rPr>
          <w:rFonts w:hint="eastAsia" w:ascii="宋体" w:hAnsi="宋体" w:cs="宋体"/>
          <w:color w:val="auto"/>
          <w:kern w:val="0"/>
          <w:szCs w:val="21"/>
          <w:highlight w:val="none"/>
          <w:lang w:eastAsia="zh-CN"/>
        </w:rPr>
        <w:t>竞争性磋商响应书</w:t>
      </w:r>
      <w:r>
        <w:rPr>
          <w:rFonts w:hint="eastAsia" w:ascii="宋体" w:hAnsi="宋体" w:eastAsia="宋体" w:cs="宋体"/>
          <w:color w:val="auto"/>
          <w:kern w:val="0"/>
          <w:szCs w:val="21"/>
          <w:highlight w:val="none"/>
        </w:rPr>
        <w:t>》和《抵制商业贿赂承诺》，不得增减或修改内容。否则视为对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文件未作出实质性响应。</w:t>
      </w:r>
    </w:p>
    <w:p w14:paraId="5C382362">
      <w:pPr>
        <w:keepNext w:val="0"/>
        <w:keepLines w:val="0"/>
        <w:pageBreakBefore w:val="0"/>
        <w:widowControl w:val="0"/>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15.</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bCs/>
          <w:color w:val="auto"/>
          <w:kern w:val="0"/>
          <w:szCs w:val="21"/>
          <w:highlight w:val="none"/>
        </w:rPr>
        <w:t>文件的语言和计量单位</w:t>
      </w:r>
    </w:p>
    <w:p w14:paraId="7C3B813B">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15.1</w:t>
      </w:r>
      <w:r>
        <w:rPr>
          <w:rFonts w:hint="eastAsia" w:ascii="宋体" w:hAnsi="宋体" w:eastAsia="宋体" w:cs="宋体"/>
          <w:color w:val="auto"/>
          <w:kern w:val="0"/>
          <w:szCs w:val="21"/>
          <w:highlight w:val="none"/>
          <w:lang w:val="en-US" w:eastAsia="zh-CN"/>
        </w:rPr>
        <w:t xml:space="preserve"> 响应</w:t>
      </w:r>
      <w:r>
        <w:rPr>
          <w:rFonts w:hint="eastAsia" w:ascii="宋体" w:hAnsi="宋体" w:eastAsia="宋体" w:cs="宋体"/>
          <w:color w:val="auto"/>
          <w:kern w:val="0"/>
          <w:szCs w:val="21"/>
          <w:highlight w:val="none"/>
        </w:rPr>
        <w:t>文件以及</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与采购人就有关</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事宜的所有来往函电均应使用简体中文书写。</w:t>
      </w:r>
    </w:p>
    <w:p w14:paraId="7621E530">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15.2</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关于</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计量单位，</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文件已有明确规定的，使用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文件规定的计量单位；</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文件没有规定的，应采用中华人民共和国法定计量单位。否则视为对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文件未作出实质性响应。</w:t>
      </w:r>
    </w:p>
    <w:p w14:paraId="54451658">
      <w:pPr>
        <w:keepNext w:val="0"/>
        <w:keepLines w:val="0"/>
        <w:pageBreakBefore w:val="0"/>
        <w:widowControl w:val="0"/>
        <w:kinsoku/>
        <w:wordWrap/>
        <w:overflowPunct/>
        <w:topLinePunct w:val="0"/>
        <w:bidi w:val="0"/>
        <w:snapToGrid w:val="0"/>
        <w:spacing w:line="360" w:lineRule="auto"/>
        <w:ind w:firstLine="48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15.3</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原版为外文的证书类文件，以及由外国人做出的本人签名、外国公司的名称或外国印章等可以是外文，但应当提供中文翻译文件并加盖</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公章。必要时</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可以要求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提供附有公证书的中文翻译文件或者与原版文件签章相一致的中文翻译文件。</w:t>
      </w:r>
    </w:p>
    <w:p w14:paraId="6160AC50">
      <w:pPr>
        <w:keepNext w:val="0"/>
        <w:keepLines w:val="0"/>
        <w:pageBreakBefore w:val="0"/>
        <w:widowControl w:val="0"/>
        <w:kinsoku/>
        <w:wordWrap/>
        <w:overflowPunct/>
        <w:topLinePunct w:val="0"/>
        <w:bidi w:val="0"/>
        <w:snapToGrid w:val="0"/>
        <w:spacing w:line="360" w:lineRule="auto"/>
        <w:ind w:firstLine="417" w:firstLineChars="198"/>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16.</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bCs/>
          <w:color w:val="auto"/>
          <w:kern w:val="0"/>
          <w:szCs w:val="21"/>
          <w:highlight w:val="none"/>
        </w:rPr>
        <w:t>文件的组成</w:t>
      </w:r>
      <w:r>
        <w:rPr>
          <w:rFonts w:hint="eastAsia" w:ascii="宋体" w:hAnsi="宋体" w:eastAsia="宋体" w:cs="宋体"/>
          <w:color w:val="auto"/>
          <w:kern w:val="0"/>
          <w:szCs w:val="21"/>
          <w:highlight w:val="none"/>
        </w:rPr>
        <w:t>。</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bCs/>
          <w:color w:val="auto"/>
          <w:kern w:val="0"/>
          <w:szCs w:val="21"/>
          <w:highlight w:val="none"/>
        </w:rPr>
        <w:t>文件应包括下列部分：</w:t>
      </w:r>
    </w:p>
    <w:p w14:paraId="6F18F221">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16.1、</w:t>
      </w:r>
      <w:r>
        <w:rPr>
          <w:rFonts w:hint="eastAsia" w:ascii="宋体" w:hAnsi="宋体" w:cs="宋体"/>
          <w:color w:val="auto"/>
          <w:kern w:val="0"/>
          <w:szCs w:val="21"/>
          <w:highlight w:val="none"/>
          <w:lang w:val="en-US" w:eastAsia="zh-CN"/>
        </w:rPr>
        <w:t>竞争性磋商响应书</w:t>
      </w:r>
      <w:r>
        <w:rPr>
          <w:rFonts w:hint="eastAsia" w:ascii="宋体" w:hAnsi="宋体" w:eastAsia="宋体" w:cs="宋体"/>
          <w:color w:val="auto"/>
          <w:kern w:val="0"/>
          <w:szCs w:val="21"/>
          <w:highlight w:val="none"/>
        </w:rPr>
        <w:t>及</w:t>
      </w:r>
      <w:r>
        <w:rPr>
          <w:rFonts w:hint="eastAsia" w:ascii="宋体" w:hAnsi="宋体" w:cs="宋体"/>
          <w:color w:val="auto"/>
          <w:kern w:val="0"/>
          <w:szCs w:val="21"/>
          <w:highlight w:val="none"/>
          <w:lang w:val="en-US" w:eastAsia="zh-CN"/>
        </w:rPr>
        <w:t>初次报价</w:t>
      </w:r>
      <w:r>
        <w:rPr>
          <w:rFonts w:hint="eastAsia" w:ascii="宋体" w:hAnsi="宋体" w:eastAsia="宋体" w:cs="宋体"/>
          <w:color w:val="auto"/>
          <w:kern w:val="0"/>
          <w:szCs w:val="21"/>
          <w:highlight w:val="none"/>
        </w:rPr>
        <w:t>一览表</w:t>
      </w:r>
    </w:p>
    <w:p w14:paraId="21277FF8">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16.2、</w:t>
      </w:r>
      <w:r>
        <w:rPr>
          <w:rFonts w:hint="eastAsia" w:ascii="宋体" w:hAnsi="宋体" w:eastAsia="宋体" w:cs="宋体"/>
          <w:color w:val="auto"/>
          <w:kern w:val="0"/>
          <w:szCs w:val="21"/>
          <w:highlight w:val="none"/>
        </w:rPr>
        <w:t>报价明细表</w:t>
      </w:r>
    </w:p>
    <w:p w14:paraId="4DB8515E">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、技术响应表</w:t>
      </w:r>
    </w:p>
    <w:p w14:paraId="60EF7CEA">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、商务响应表</w:t>
      </w:r>
    </w:p>
    <w:p w14:paraId="0B275C27">
      <w:pPr>
        <w:keepNext w:val="0"/>
        <w:keepLines w:val="0"/>
        <w:pageBreakBefore w:val="0"/>
        <w:widowControl w:val="0"/>
        <w:kinsoku/>
        <w:wordWrap/>
        <w:overflowPunct/>
        <w:topLinePunct w:val="0"/>
        <w:bidi w:val="0"/>
        <w:snapToGrid w:val="0"/>
        <w:spacing w:line="360" w:lineRule="auto"/>
        <w:ind w:left="208" w:leftChars="99" w:firstLine="210" w:firstLineChars="1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、法定代表人身份证明</w:t>
      </w:r>
    </w:p>
    <w:p w14:paraId="6A3B0E9C">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6</w:t>
      </w:r>
      <w:r>
        <w:rPr>
          <w:rFonts w:hint="eastAsia" w:ascii="宋体" w:hAnsi="宋体" w:eastAsia="宋体" w:cs="宋体"/>
          <w:color w:val="auto"/>
          <w:kern w:val="0"/>
          <w:szCs w:val="21"/>
          <w:highlight w:val="none"/>
        </w:rPr>
        <w:t>、法定代表人授权书</w:t>
      </w:r>
    </w:p>
    <w:p w14:paraId="22F34815">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7</w:t>
      </w:r>
      <w:r>
        <w:rPr>
          <w:rFonts w:hint="eastAsia" w:ascii="宋体" w:hAnsi="宋体" w:eastAsia="宋体" w:cs="宋体"/>
          <w:color w:val="auto"/>
          <w:kern w:val="0"/>
          <w:szCs w:val="21"/>
          <w:highlight w:val="none"/>
        </w:rPr>
        <w:t>、证明文件</w:t>
      </w:r>
    </w:p>
    <w:p w14:paraId="1B8AB2DF">
      <w:pPr>
        <w:keepNext w:val="0"/>
        <w:keepLines w:val="0"/>
        <w:pageBreakBefore w:val="0"/>
        <w:widowControl w:val="0"/>
        <w:kinsoku/>
        <w:wordWrap/>
        <w:overflowPunct/>
        <w:topLinePunct w:val="0"/>
        <w:bidi w:val="0"/>
        <w:snapToGrid w:val="0"/>
        <w:spacing w:line="360" w:lineRule="auto"/>
        <w:ind w:firstLine="420"/>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供应商承诺书</w:t>
      </w:r>
    </w:p>
    <w:p w14:paraId="0ACA2955">
      <w:pPr>
        <w:pStyle w:val="14"/>
        <w:keepNext w:val="0"/>
        <w:keepLines w:val="0"/>
        <w:pageBreakBefore w:val="0"/>
        <w:widowControl w:val="0"/>
        <w:kinsoku/>
        <w:wordWrap/>
        <w:overflowPunct/>
        <w:topLinePunct w:val="0"/>
        <w:bidi w:val="0"/>
        <w:snapToGrid w:val="0"/>
        <w:spacing w:beforeAutospacing="0" w:afterAutospacing="0" w:line="36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16.</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供应商信用承诺函</w:t>
      </w:r>
    </w:p>
    <w:p w14:paraId="4604E752">
      <w:pPr>
        <w:keepNext w:val="0"/>
        <w:keepLines w:val="0"/>
        <w:pageBreakBefore w:val="0"/>
        <w:widowControl w:val="0"/>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17.</w:t>
      </w:r>
      <w:r>
        <w:rPr>
          <w:rFonts w:hint="eastAsia" w:ascii="宋体" w:hAnsi="宋体" w:eastAsia="宋体" w:cs="宋体"/>
          <w:b/>
          <w:color w:val="auto"/>
          <w:kern w:val="0"/>
          <w:szCs w:val="21"/>
          <w:highlight w:val="none"/>
          <w:lang w:val="en-US" w:eastAsia="zh-CN"/>
        </w:rPr>
        <w:t>响应文件</w:t>
      </w:r>
      <w:r>
        <w:rPr>
          <w:rFonts w:hint="eastAsia" w:ascii="宋体" w:hAnsi="宋体" w:eastAsia="宋体" w:cs="宋体"/>
          <w:b/>
          <w:color w:val="auto"/>
          <w:kern w:val="0"/>
          <w:szCs w:val="21"/>
          <w:highlight w:val="none"/>
        </w:rPr>
        <w:t>有效期</w:t>
      </w:r>
    </w:p>
    <w:p w14:paraId="20F6F450">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17.1 </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从</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公告所规定的投标截止期之后开始生效，在</w:t>
      </w:r>
      <w:r>
        <w:rPr>
          <w:rFonts w:hint="eastAsia" w:ascii="宋体" w:hAnsi="宋体" w:eastAsia="宋体" w:cs="宋体"/>
          <w:bCs/>
          <w:color w:val="auto"/>
          <w:kern w:val="0"/>
          <w:szCs w:val="21"/>
          <w:highlight w:val="none"/>
          <w:lang w:eastAsia="zh-CN"/>
        </w:rPr>
        <w:t>供应商</w:t>
      </w:r>
      <w:r>
        <w:rPr>
          <w:rFonts w:hint="eastAsia" w:ascii="宋体" w:hAnsi="宋体" w:eastAsia="宋体" w:cs="宋体"/>
          <w:bCs/>
          <w:color w:val="auto"/>
          <w:kern w:val="0"/>
          <w:szCs w:val="21"/>
          <w:highlight w:val="none"/>
        </w:rPr>
        <w:t>须知前附表</w:t>
      </w:r>
      <w:r>
        <w:rPr>
          <w:rFonts w:hint="eastAsia" w:ascii="宋体" w:hAnsi="宋体" w:eastAsia="宋体" w:cs="宋体"/>
          <w:color w:val="auto"/>
          <w:kern w:val="0"/>
          <w:szCs w:val="21"/>
          <w:highlight w:val="none"/>
        </w:rPr>
        <w:t>第1</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项所规定的期限内保持有效。有效期不足将导致其</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文件被拒绝。</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的</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有效期至合同完全履行止。</w:t>
      </w:r>
    </w:p>
    <w:p w14:paraId="4E7360E8">
      <w:pPr>
        <w:keepNext w:val="0"/>
        <w:keepLines w:val="0"/>
        <w:pageBreakBefore w:val="0"/>
        <w:widowControl w:val="0"/>
        <w:kinsoku/>
        <w:wordWrap/>
        <w:overflowPunct/>
        <w:topLinePunct w:val="0"/>
        <w:autoSpaceDE/>
        <w:autoSpaceDN/>
        <w:bidi w:val="0"/>
        <w:adjustRightInd/>
        <w:snapToGrid w:val="0"/>
        <w:spacing w:line="360" w:lineRule="auto"/>
        <w:ind w:firstLine="48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17.2特殊情况下</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可于投标有效期满之前书面要求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同意延长有效期，</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应在</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规定的期限内以书面形式予以答复。</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可以拒绝上述要求。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答复不明确或者逾期未答复的，均视为拒绝上述要求。对于接受该要求的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，既不要求也不允许其修改</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w:t>
      </w:r>
    </w:p>
    <w:p w14:paraId="00A3228F">
      <w:pPr>
        <w:keepNext w:val="0"/>
        <w:keepLines w:val="0"/>
        <w:pageBreakBefore w:val="0"/>
        <w:widowControl w:val="0"/>
        <w:kinsoku/>
        <w:wordWrap/>
        <w:overflowPunct/>
        <w:topLinePunct w:val="0"/>
        <w:autoSpaceDE/>
        <w:autoSpaceDN/>
        <w:bidi w:val="0"/>
        <w:adjustRightInd/>
        <w:snapToGrid w:val="0"/>
        <w:spacing w:line="360" w:lineRule="auto"/>
        <w:ind w:firstLine="417" w:firstLineChars="198"/>
        <w:textAlignment w:val="auto"/>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18.投标报价</w:t>
      </w:r>
    </w:p>
    <w:p w14:paraId="09D2E5CC">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18.1 所有</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报价均以人民币元为计算单位。</w:t>
      </w:r>
    </w:p>
    <w:p w14:paraId="748543C9">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18.2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要按</w:t>
      </w:r>
      <w:r>
        <w:rPr>
          <w:rFonts w:hint="eastAsia" w:ascii="宋体" w:hAnsi="宋体" w:cs="宋体"/>
          <w:color w:val="auto"/>
          <w:kern w:val="0"/>
          <w:szCs w:val="21"/>
          <w:highlight w:val="none"/>
          <w:lang w:val="en-US" w:eastAsia="zh-CN"/>
        </w:rPr>
        <w:t>初次报价</w:t>
      </w:r>
      <w:r>
        <w:rPr>
          <w:rFonts w:hint="eastAsia" w:ascii="宋体" w:hAnsi="宋体" w:eastAsia="宋体" w:cs="宋体"/>
          <w:color w:val="auto"/>
          <w:kern w:val="0"/>
          <w:szCs w:val="21"/>
          <w:highlight w:val="none"/>
        </w:rPr>
        <w:t>一览表的内容填写。</w:t>
      </w:r>
    </w:p>
    <w:p w14:paraId="660F648B">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18.3 </w:t>
      </w:r>
      <w:r>
        <w:rPr>
          <w:rFonts w:hint="eastAsia" w:ascii="宋体" w:hAnsi="宋体" w:eastAsia="宋体" w:cs="宋体"/>
          <w:color w:val="auto"/>
          <w:spacing w:val="10"/>
          <w:kern w:val="0"/>
          <w:szCs w:val="21"/>
          <w:highlight w:val="none"/>
          <w:lang w:eastAsia="zh-CN"/>
        </w:rPr>
        <w:t>供应商</w:t>
      </w:r>
      <w:r>
        <w:rPr>
          <w:rFonts w:hint="eastAsia" w:ascii="宋体" w:hAnsi="宋体" w:eastAsia="宋体" w:cs="宋体"/>
          <w:color w:val="auto"/>
          <w:spacing w:val="10"/>
          <w:kern w:val="0"/>
          <w:szCs w:val="21"/>
          <w:highlight w:val="none"/>
        </w:rPr>
        <w:t>投报多标包的，应对每标包分别报价并分别填报</w:t>
      </w:r>
      <w:r>
        <w:rPr>
          <w:rFonts w:hint="eastAsia" w:ascii="宋体" w:hAnsi="宋体" w:cs="宋体"/>
          <w:color w:val="auto"/>
          <w:kern w:val="0"/>
          <w:szCs w:val="21"/>
          <w:highlight w:val="none"/>
          <w:lang w:val="en-US" w:eastAsia="zh-CN"/>
        </w:rPr>
        <w:t>初次报价</w:t>
      </w:r>
      <w:r>
        <w:rPr>
          <w:rFonts w:hint="eastAsia" w:ascii="宋体" w:hAnsi="宋体" w:eastAsia="宋体" w:cs="宋体"/>
          <w:color w:val="auto"/>
          <w:kern w:val="0"/>
          <w:szCs w:val="21"/>
          <w:highlight w:val="none"/>
        </w:rPr>
        <w:t>一览表</w:t>
      </w:r>
      <w:r>
        <w:rPr>
          <w:rFonts w:hint="eastAsia" w:ascii="宋体" w:hAnsi="宋体" w:eastAsia="宋体" w:cs="宋体"/>
          <w:color w:val="auto"/>
          <w:spacing w:val="10"/>
          <w:kern w:val="0"/>
          <w:szCs w:val="21"/>
          <w:highlight w:val="none"/>
        </w:rPr>
        <w:t>。</w:t>
      </w:r>
    </w:p>
    <w:p w14:paraId="202C8216">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18.4 </w:t>
      </w:r>
      <w:r>
        <w:rPr>
          <w:rFonts w:hint="eastAsia" w:ascii="宋体" w:hAnsi="宋体" w:cs="宋体"/>
          <w:color w:val="auto"/>
          <w:kern w:val="0"/>
          <w:szCs w:val="21"/>
          <w:highlight w:val="none"/>
          <w:lang w:eastAsia="zh-CN"/>
        </w:rPr>
        <w:t>初次报价一览表</w:t>
      </w:r>
      <w:r>
        <w:rPr>
          <w:rFonts w:hint="eastAsia" w:ascii="宋体" w:hAnsi="宋体" w:eastAsia="宋体" w:cs="宋体"/>
          <w:color w:val="auto"/>
          <w:kern w:val="0"/>
          <w:szCs w:val="21"/>
          <w:highlight w:val="none"/>
        </w:rPr>
        <w:t>中标明的价格在政府采购合同执行过程中是固定不变的，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不得以任何理由予以变更。以可调整的价格提交的投标将被作为无效投标处理。</w:t>
      </w:r>
    </w:p>
    <w:p w14:paraId="5346BF38">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18.5 </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不接受可选择的投标报价。</w:t>
      </w:r>
    </w:p>
    <w:p w14:paraId="3698E188">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18.6 对于</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w:t>
      </w:r>
      <w:r>
        <w:rPr>
          <w:rFonts w:hint="eastAsia" w:ascii="宋体" w:hAnsi="宋体" w:cs="宋体"/>
          <w:color w:val="auto"/>
          <w:kern w:val="0"/>
          <w:szCs w:val="21"/>
          <w:highlight w:val="none"/>
          <w:lang w:eastAsia="zh-CN"/>
        </w:rPr>
        <w:t>初次报价一览表</w:t>
      </w:r>
      <w:r>
        <w:rPr>
          <w:rFonts w:hint="eastAsia" w:ascii="宋体" w:hAnsi="宋体" w:eastAsia="宋体" w:cs="宋体"/>
          <w:color w:val="auto"/>
          <w:kern w:val="0"/>
          <w:szCs w:val="21"/>
          <w:highlight w:val="none"/>
        </w:rPr>
        <w:t>和</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文件中列出的赠送条款，在评审时不得作为价格评分因素或者调整评标价格的依据。</w:t>
      </w:r>
    </w:p>
    <w:p w14:paraId="5266E265">
      <w:pPr>
        <w:keepNext w:val="0"/>
        <w:keepLines w:val="0"/>
        <w:pageBreakBefore w:val="0"/>
        <w:widowControl w:val="0"/>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eastAsia="宋体" w:cs="宋体"/>
          <w:b/>
          <w:color w:val="auto"/>
          <w:kern w:val="0"/>
          <w:szCs w:val="21"/>
          <w:highlight w:val="none"/>
        </w:rPr>
        <w:t>19.投标保证金</w:t>
      </w:r>
      <w:r>
        <w:rPr>
          <w:rFonts w:hint="eastAsia" w:ascii="宋体" w:hAnsi="宋体" w:eastAsia="宋体" w:cs="宋体"/>
          <w:b/>
          <w:color w:val="auto"/>
          <w:kern w:val="0"/>
          <w:szCs w:val="21"/>
          <w:highlight w:val="none"/>
          <w:lang w:eastAsia="zh-CN"/>
        </w:rPr>
        <w:t>（</w:t>
      </w:r>
      <w:r>
        <w:rPr>
          <w:rFonts w:hint="eastAsia" w:ascii="宋体" w:hAnsi="宋体" w:eastAsia="宋体" w:cs="宋体"/>
          <w:b/>
          <w:color w:val="auto"/>
          <w:kern w:val="0"/>
          <w:szCs w:val="21"/>
          <w:highlight w:val="none"/>
          <w:lang w:val="en-US" w:eastAsia="zh-CN"/>
        </w:rPr>
        <w:t>无</w:t>
      </w:r>
      <w:r>
        <w:rPr>
          <w:rFonts w:hint="eastAsia" w:ascii="宋体" w:hAnsi="宋体" w:eastAsia="宋体" w:cs="宋体"/>
          <w:b/>
          <w:color w:val="auto"/>
          <w:kern w:val="0"/>
          <w:szCs w:val="21"/>
          <w:highlight w:val="none"/>
          <w:lang w:eastAsia="zh-CN"/>
        </w:rPr>
        <w:t>）</w:t>
      </w:r>
    </w:p>
    <w:p w14:paraId="31D701CB">
      <w:pPr>
        <w:keepNext w:val="0"/>
        <w:keepLines w:val="0"/>
        <w:pageBreakBefore w:val="0"/>
        <w:widowControl w:val="0"/>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val="en-US" w:eastAsia="zh-CN"/>
        </w:rPr>
      </w:pPr>
      <w:r>
        <w:rPr>
          <w:rFonts w:hint="eastAsia" w:ascii="宋体" w:hAnsi="宋体" w:eastAsia="宋体" w:cs="宋体"/>
          <w:b/>
          <w:color w:val="auto"/>
          <w:kern w:val="0"/>
          <w:szCs w:val="21"/>
          <w:highlight w:val="none"/>
        </w:rPr>
        <w:t>20.</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color w:val="auto"/>
          <w:kern w:val="0"/>
          <w:szCs w:val="21"/>
          <w:highlight w:val="none"/>
        </w:rPr>
        <w:t>文件的签署</w:t>
      </w:r>
      <w:r>
        <w:rPr>
          <w:rFonts w:hint="eastAsia" w:ascii="宋体" w:hAnsi="宋体" w:eastAsia="宋体" w:cs="宋体"/>
          <w:b/>
          <w:color w:val="auto"/>
          <w:kern w:val="0"/>
          <w:szCs w:val="21"/>
          <w:highlight w:val="none"/>
          <w:lang w:val="en-US" w:eastAsia="zh-CN"/>
        </w:rPr>
        <w:t>及其他规定</w:t>
      </w:r>
    </w:p>
    <w:p w14:paraId="08FA7F6D">
      <w:pPr>
        <w:keepNext w:val="0"/>
        <w:keepLines w:val="0"/>
        <w:pageBreakBefore w:val="0"/>
        <w:widowControl w:val="0"/>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文件应按第六章“</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文件格式”进行编写，如有必要，可以增加附页，作为</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的组成部分。其中，</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报价一览表在满足</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14:paraId="06CA5ED3">
      <w:pPr>
        <w:keepNext w:val="0"/>
        <w:keepLines w:val="0"/>
        <w:pageBreakBefore w:val="0"/>
        <w:widowControl w:val="0"/>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 xml:space="preserve">.2 </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文件应当对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w:t>
      </w:r>
      <w:r>
        <w:rPr>
          <w:rFonts w:hint="eastAsia" w:ascii="宋体" w:hAnsi="宋体" w:cs="宋体"/>
          <w:color w:val="auto"/>
          <w:kern w:val="0"/>
          <w:szCs w:val="21"/>
          <w:highlight w:val="none"/>
          <w:lang w:val="en-US" w:eastAsia="zh-CN"/>
        </w:rPr>
        <w:t>交货期</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有效期、</w:t>
      </w:r>
      <w:r>
        <w:rPr>
          <w:rFonts w:hint="eastAsia" w:ascii="宋体" w:hAnsi="宋体" w:eastAsia="宋体" w:cs="宋体"/>
          <w:color w:val="auto"/>
          <w:kern w:val="0"/>
          <w:szCs w:val="21"/>
          <w:highlight w:val="none"/>
          <w:lang w:val="en-US" w:eastAsia="zh-CN"/>
        </w:rPr>
        <w:t>质量</w:t>
      </w:r>
      <w:r>
        <w:rPr>
          <w:rFonts w:hint="eastAsia" w:ascii="宋体" w:hAnsi="宋体" w:eastAsia="宋体" w:cs="宋体"/>
          <w:color w:val="auto"/>
          <w:kern w:val="0"/>
          <w:szCs w:val="21"/>
          <w:highlight w:val="none"/>
        </w:rPr>
        <w:t>要求、技术标准和要求、</w:t>
      </w:r>
      <w:r>
        <w:rPr>
          <w:rFonts w:hint="eastAsia" w:ascii="宋体" w:hAnsi="宋体" w:eastAsia="宋体" w:cs="宋体"/>
          <w:color w:val="auto"/>
          <w:kern w:val="0"/>
          <w:szCs w:val="21"/>
          <w:highlight w:val="none"/>
          <w:lang w:eastAsia="zh-CN"/>
        </w:rPr>
        <w:t>磋商</w:t>
      </w:r>
      <w:r>
        <w:rPr>
          <w:rFonts w:hint="eastAsia" w:ascii="宋体" w:hAnsi="宋体" w:eastAsia="宋体" w:cs="宋体"/>
          <w:color w:val="auto"/>
          <w:kern w:val="0"/>
          <w:szCs w:val="21"/>
          <w:highlight w:val="none"/>
        </w:rPr>
        <w:t>范围等实质性内容作出响应。</w:t>
      </w:r>
    </w:p>
    <w:p w14:paraId="705FCC70">
      <w:pPr>
        <w:keepNext w:val="0"/>
        <w:keepLines w:val="0"/>
        <w:pageBreakBefore w:val="0"/>
        <w:widowControl w:val="0"/>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文件应用不褪色的材料书写或打印，并由</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的法定代表人盖章或盖单位公章；</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文件应尽量避免涂改、行间插字或删除，如果出现上述情况，改动之处应加盖单位公章或由</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的法定代表人盖章确认。签字或盖章的具体要求见</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14:paraId="373EED5D">
      <w:pPr>
        <w:keepNext w:val="0"/>
        <w:keepLines w:val="0"/>
        <w:pageBreakBefore w:val="0"/>
        <w:widowControl w:val="0"/>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文件份数见</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文件正本和副本的封面上应清楚地标记“正本”或“副本”的字样。</w:t>
      </w:r>
    </w:p>
    <w:p w14:paraId="34F44DB9">
      <w:pPr>
        <w:keepNext w:val="0"/>
        <w:keepLines w:val="0"/>
        <w:pageBreakBefore w:val="0"/>
        <w:widowControl w:val="0"/>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文件的具体装订要求见</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w:t>
      </w:r>
    </w:p>
    <w:p w14:paraId="0968E515">
      <w:pPr>
        <w:keepNext w:val="0"/>
        <w:keepLines w:val="0"/>
        <w:pageBreakBefore w:val="0"/>
        <w:widowControl w:val="0"/>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四、</w:t>
      </w:r>
      <w:r>
        <w:rPr>
          <w:rFonts w:hint="eastAsia" w:ascii="宋体" w:hAnsi="宋体" w:eastAsia="宋体" w:cs="宋体"/>
          <w:b/>
          <w:bCs/>
          <w:color w:val="auto"/>
          <w:kern w:val="0"/>
          <w:sz w:val="28"/>
          <w:szCs w:val="28"/>
          <w:highlight w:val="none"/>
          <w:lang w:val="en-US" w:eastAsia="zh-CN"/>
        </w:rPr>
        <w:t>响应</w:t>
      </w:r>
      <w:r>
        <w:rPr>
          <w:rFonts w:hint="eastAsia" w:ascii="宋体" w:hAnsi="宋体" w:eastAsia="宋体" w:cs="宋体"/>
          <w:b/>
          <w:bCs/>
          <w:color w:val="auto"/>
          <w:kern w:val="0"/>
          <w:sz w:val="28"/>
          <w:szCs w:val="28"/>
          <w:highlight w:val="none"/>
        </w:rPr>
        <w:t>文件的递交</w:t>
      </w:r>
    </w:p>
    <w:p w14:paraId="3C140CBD">
      <w:pPr>
        <w:keepNext w:val="0"/>
        <w:keepLines w:val="0"/>
        <w:pageBreakBefore w:val="0"/>
        <w:widowControl w:val="0"/>
        <w:kinsoku/>
        <w:wordWrap/>
        <w:overflowPunct/>
        <w:topLinePunct w:val="0"/>
        <w:autoSpaceDE/>
        <w:autoSpaceDN/>
        <w:bidi w:val="0"/>
        <w:adjustRightInd/>
        <w:snapToGrid w:val="0"/>
        <w:spacing w:line="360" w:lineRule="auto"/>
        <w:ind w:firstLine="417" w:firstLineChars="198"/>
        <w:textAlignment w:val="auto"/>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 xml:space="preserve">21. </w:t>
      </w:r>
      <w:r>
        <w:rPr>
          <w:rFonts w:hint="eastAsia" w:ascii="宋体" w:hAnsi="宋体" w:eastAsia="宋体" w:cs="宋体"/>
          <w:b/>
          <w:color w:val="auto"/>
          <w:kern w:val="0"/>
          <w:szCs w:val="21"/>
          <w:highlight w:val="none"/>
          <w:lang w:val="en-US" w:eastAsia="zh-CN"/>
        </w:rPr>
        <w:t>响应</w:t>
      </w:r>
      <w:r>
        <w:rPr>
          <w:rFonts w:hint="eastAsia" w:ascii="宋体" w:hAnsi="宋体" w:eastAsia="宋体" w:cs="宋体"/>
          <w:b/>
          <w:color w:val="auto"/>
          <w:kern w:val="0"/>
          <w:szCs w:val="21"/>
          <w:highlight w:val="none"/>
        </w:rPr>
        <w:t>文件的密封、标记</w:t>
      </w:r>
    </w:p>
    <w:p w14:paraId="1260FA0E">
      <w:pPr>
        <w:keepNext w:val="0"/>
        <w:keepLines w:val="0"/>
        <w:pageBreakBefore w:val="0"/>
        <w:widowControl w:val="0"/>
        <w:kinsoku/>
        <w:wordWrap/>
        <w:overflowPunct/>
        <w:topLinePunct w:val="0"/>
        <w:autoSpaceDE/>
        <w:autoSpaceDN/>
        <w:bidi w:val="0"/>
        <w:adjustRightInd/>
        <w:spacing w:line="360" w:lineRule="auto"/>
        <w:ind w:firstLine="424" w:firstLineChars="202"/>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21.1</w:t>
      </w:r>
      <w:r>
        <w:rPr>
          <w:rFonts w:hint="eastAsia" w:ascii="宋体" w:hAnsi="宋体" w:eastAsia="宋体" w:cs="宋体"/>
          <w:color w:val="auto"/>
          <w:highlight w:val="none"/>
        </w:rPr>
        <w:t>响应文件应密封包装，并在封套的封口处加盖供应商单位章或由供应商的法定代表人（单位负责人）或其授权的代理人签字。</w:t>
      </w:r>
    </w:p>
    <w:p w14:paraId="05AA0E67">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2</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lang w:eastAsia="zh-CN"/>
        </w:rPr>
        <w:t xml:space="preserve"> 未按本章第2</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lang w:eastAsia="zh-CN"/>
        </w:rPr>
        <w:t>.1项要求密封的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highlight w:val="none"/>
          <w:lang w:eastAsia="zh-CN"/>
        </w:rPr>
        <w:t>文件，采购人不予受理。</w:t>
      </w:r>
    </w:p>
    <w:p w14:paraId="22BFAEA8">
      <w:pPr>
        <w:keepNext w:val="0"/>
        <w:keepLines w:val="0"/>
        <w:pageBreakBefore w:val="0"/>
        <w:widowControl w:val="0"/>
        <w:kinsoku/>
        <w:wordWrap/>
        <w:overflowPunct/>
        <w:topLinePunct w:val="0"/>
        <w:bidi w:val="0"/>
        <w:snapToGrid w:val="0"/>
        <w:spacing w:line="360" w:lineRule="auto"/>
        <w:ind w:firstLine="417" w:firstLineChars="198"/>
        <w:rPr>
          <w:rFonts w:hint="eastAsia" w:ascii="宋体" w:hAnsi="宋体" w:eastAsia="宋体" w:cs="宋体"/>
          <w:b/>
          <w:bCs w:val="0"/>
          <w:color w:val="auto"/>
          <w:kern w:val="0"/>
          <w:szCs w:val="21"/>
          <w:highlight w:val="none"/>
        </w:rPr>
      </w:pPr>
      <w:r>
        <w:rPr>
          <w:rFonts w:hint="eastAsia" w:ascii="宋体" w:hAnsi="宋体" w:eastAsia="宋体" w:cs="宋体"/>
          <w:b/>
          <w:bCs w:val="0"/>
          <w:color w:val="auto"/>
          <w:kern w:val="0"/>
          <w:szCs w:val="21"/>
          <w:highlight w:val="none"/>
        </w:rPr>
        <w:t xml:space="preserve">22. </w:t>
      </w:r>
      <w:r>
        <w:rPr>
          <w:rFonts w:hint="eastAsia" w:ascii="宋体" w:hAnsi="宋体" w:eastAsia="宋体" w:cs="宋体"/>
          <w:b/>
          <w:bCs w:val="0"/>
          <w:color w:val="auto"/>
          <w:kern w:val="0"/>
          <w:szCs w:val="21"/>
          <w:highlight w:val="none"/>
          <w:lang w:val="en-US" w:eastAsia="zh-CN"/>
        </w:rPr>
        <w:t>响应</w:t>
      </w:r>
      <w:r>
        <w:rPr>
          <w:rFonts w:hint="eastAsia" w:ascii="宋体" w:hAnsi="宋体" w:eastAsia="宋体" w:cs="宋体"/>
          <w:b/>
          <w:bCs w:val="0"/>
          <w:color w:val="auto"/>
          <w:kern w:val="0"/>
          <w:szCs w:val="21"/>
          <w:highlight w:val="none"/>
        </w:rPr>
        <w:t>文件的递交</w:t>
      </w:r>
    </w:p>
    <w:p w14:paraId="230162DA">
      <w:pPr>
        <w:keepNext w:val="0"/>
        <w:keepLines w:val="0"/>
        <w:pageBreakBefore w:val="0"/>
        <w:widowControl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 xml:space="preserve">.1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应在规定的</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截止时间前</w:t>
      </w:r>
      <w:r>
        <w:rPr>
          <w:rFonts w:hint="eastAsia" w:ascii="宋体" w:hAnsi="宋体" w:eastAsia="宋体" w:cs="宋体"/>
          <w:color w:val="auto"/>
          <w:kern w:val="0"/>
          <w:szCs w:val="21"/>
          <w:highlight w:val="none"/>
          <w:lang w:eastAsia="zh-CN"/>
        </w:rPr>
        <w:t>递交</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w:t>
      </w:r>
    </w:p>
    <w:p w14:paraId="5D0F7FD6">
      <w:pPr>
        <w:keepNext w:val="0"/>
        <w:keepLines w:val="0"/>
        <w:pageBreakBefore w:val="0"/>
        <w:widowControl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 xml:space="preserve">.2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递交</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文件的地点：见</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w:t>
      </w:r>
    </w:p>
    <w:p w14:paraId="2C17CA9C">
      <w:pPr>
        <w:keepNext w:val="0"/>
        <w:keepLines w:val="0"/>
        <w:pageBreakBefore w:val="0"/>
        <w:widowControl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.3 除</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须知前附表另有规定外，</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所递交的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文件不予退还。</w:t>
      </w:r>
    </w:p>
    <w:p w14:paraId="7859BBE8">
      <w:pPr>
        <w:keepNext w:val="0"/>
        <w:keepLines w:val="0"/>
        <w:pageBreakBefore w:val="0"/>
        <w:widowControl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.4 逾期送达的或者未送达指定地点的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文件，采购人不予受理。</w:t>
      </w:r>
    </w:p>
    <w:p w14:paraId="033163D3">
      <w:pPr>
        <w:keepNext w:val="0"/>
        <w:keepLines w:val="0"/>
        <w:pageBreakBefore w:val="0"/>
        <w:widowControl w:val="0"/>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 xml:space="preserve">23. </w:t>
      </w:r>
      <w:r>
        <w:rPr>
          <w:rFonts w:hint="eastAsia" w:ascii="宋体" w:hAnsi="宋体" w:eastAsia="宋体" w:cs="宋体"/>
          <w:b/>
          <w:color w:val="auto"/>
          <w:kern w:val="0"/>
          <w:szCs w:val="21"/>
          <w:highlight w:val="none"/>
          <w:lang w:val="en-US" w:eastAsia="zh-CN"/>
        </w:rPr>
        <w:t>响应</w:t>
      </w:r>
      <w:r>
        <w:rPr>
          <w:rFonts w:hint="eastAsia" w:ascii="宋体" w:hAnsi="宋体" w:eastAsia="宋体" w:cs="宋体"/>
          <w:b/>
          <w:color w:val="auto"/>
          <w:kern w:val="0"/>
          <w:szCs w:val="21"/>
          <w:highlight w:val="none"/>
        </w:rPr>
        <w:t>文件的修改和撤回</w:t>
      </w:r>
    </w:p>
    <w:p w14:paraId="4BDB04A5">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23.1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在投标截止时间前，可以对所提交的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文件进行补充、修改或者撤回，并书面通知</w:t>
      </w:r>
      <w:r>
        <w:rPr>
          <w:rFonts w:hint="eastAsia" w:ascii="宋体" w:hAnsi="宋体" w:eastAsia="宋体" w:cs="宋体"/>
          <w:color w:val="auto"/>
          <w:kern w:val="0"/>
          <w:szCs w:val="21"/>
          <w:highlight w:val="none"/>
          <w:lang w:eastAsia="zh-CN"/>
        </w:rPr>
        <w:t>采购人</w:t>
      </w:r>
      <w:r>
        <w:rPr>
          <w:rFonts w:hint="eastAsia" w:ascii="宋体" w:hAnsi="宋体" w:eastAsia="宋体" w:cs="宋体"/>
          <w:color w:val="auto"/>
          <w:kern w:val="0"/>
          <w:szCs w:val="21"/>
          <w:highlight w:val="none"/>
        </w:rPr>
        <w:t>。补充、修改的内容和撤回通知应当按本须知要求签署、盖章、密封，并作为</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文件的组成部分。</w:t>
      </w:r>
    </w:p>
    <w:p w14:paraId="6FFEBDDF">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xml:space="preserve">23.2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截止期后不得修改、撤回</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在投标截止期后修改</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文件的，其投标将被拒绝。</w:t>
      </w:r>
    </w:p>
    <w:p w14:paraId="0B1B798B">
      <w:pPr>
        <w:keepNext w:val="0"/>
        <w:keepLines w:val="0"/>
        <w:pageBreakBefore w:val="0"/>
        <w:widowControl w:val="0"/>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五</w:t>
      </w:r>
      <w:r>
        <w:rPr>
          <w:rFonts w:hint="eastAsia" w:ascii="宋体" w:hAnsi="宋体" w:eastAsia="宋体" w:cs="宋体"/>
          <w:b/>
          <w:bCs/>
          <w:color w:val="auto"/>
          <w:kern w:val="0"/>
          <w:sz w:val="28"/>
          <w:szCs w:val="28"/>
          <w:highlight w:val="none"/>
        </w:rPr>
        <w:t>、评标</w:t>
      </w:r>
    </w:p>
    <w:p w14:paraId="01D45B0B">
      <w:pPr>
        <w:keepNext w:val="0"/>
        <w:keepLines w:val="0"/>
        <w:pageBreakBefore w:val="0"/>
        <w:widowControl w:val="0"/>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lang w:eastAsia="zh-CN"/>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4</w:t>
      </w:r>
      <w:r>
        <w:rPr>
          <w:rFonts w:hint="eastAsia" w:ascii="宋体" w:hAnsi="宋体" w:eastAsia="宋体" w:cs="宋体"/>
          <w:b/>
          <w:bCs/>
          <w:color w:val="auto"/>
          <w:kern w:val="0"/>
          <w:szCs w:val="21"/>
          <w:highlight w:val="none"/>
        </w:rPr>
        <w:t>. 组建</w:t>
      </w:r>
      <w:r>
        <w:rPr>
          <w:rFonts w:hint="eastAsia" w:ascii="宋体" w:hAnsi="宋体" w:eastAsia="宋体" w:cs="宋体"/>
          <w:b/>
          <w:bCs/>
          <w:color w:val="auto"/>
          <w:kern w:val="0"/>
          <w:szCs w:val="21"/>
          <w:highlight w:val="none"/>
          <w:lang w:eastAsia="zh-CN"/>
        </w:rPr>
        <w:t>磋商小组</w:t>
      </w:r>
    </w:p>
    <w:p w14:paraId="08C9D3FE">
      <w:pPr>
        <w:keepNext w:val="0"/>
        <w:keepLines w:val="0"/>
        <w:pageBreakBefore w:val="0"/>
        <w:widowControl w:val="0"/>
        <w:kinsoku/>
        <w:wordWrap/>
        <w:overflowPunct/>
        <w:topLinePunct w:val="0"/>
        <w:bidi w:val="0"/>
        <w:snapToGrid w:val="0"/>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 xml:space="preserve">.1 </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由采购人代表和评审专家组成。成员由</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rPr>
        <w:t>人以上单数组成。</w:t>
      </w:r>
      <w:r>
        <w:rPr>
          <w:rFonts w:hint="eastAsia" w:ascii="宋体" w:hAnsi="宋体" w:eastAsia="宋体" w:cs="宋体"/>
          <w:color w:val="auto"/>
          <w:szCs w:val="21"/>
          <w:highlight w:val="none"/>
        </w:rPr>
        <w:t>在开标后由</w:t>
      </w:r>
      <w:r>
        <w:rPr>
          <w:rFonts w:hint="eastAsia" w:ascii="宋体" w:hAnsi="宋体" w:eastAsia="宋体" w:cs="宋体"/>
          <w:color w:val="auto"/>
          <w:szCs w:val="21"/>
          <w:highlight w:val="none"/>
          <w:lang w:eastAsia="zh-CN"/>
        </w:rPr>
        <w:t>磋商小组</w:t>
      </w:r>
      <w:r>
        <w:rPr>
          <w:rFonts w:hint="eastAsia" w:ascii="宋体" w:hAnsi="宋体" w:eastAsia="宋体" w:cs="宋体"/>
          <w:color w:val="auto"/>
          <w:szCs w:val="21"/>
          <w:highlight w:val="none"/>
        </w:rPr>
        <w:t>对</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szCs w:val="21"/>
          <w:highlight w:val="none"/>
        </w:rPr>
        <w:t>进行审查、质疑、评估和比较，并做合理的建议。</w:t>
      </w:r>
    </w:p>
    <w:p w14:paraId="2F374019">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成员要依法独立评审，并对评审意见承担个人责任。</w:t>
      </w:r>
      <w:r>
        <w:rPr>
          <w:rFonts w:hint="eastAsia" w:ascii="宋体" w:hAnsi="宋体" w:eastAsia="宋体" w:cs="宋体"/>
          <w:color w:val="auto"/>
          <w:szCs w:val="21"/>
          <w:highlight w:val="none"/>
          <w:lang w:eastAsia="zh-CN"/>
        </w:rPr>
        <w:t>磋商小组</w:t>
      </w:r>
      <w:r>
        <w:rPr>
          <w:rFonts w:hint="eastAsia" w:ascii="宋体" w:hAnsi="宋体" w:eastAsia="宋体" w:cs="宋体"/>
          <w:color w:val="auto"/>
          <w:szCs w:val="21"/>
          <w:highlight w:val="none"/>
        </w:rPr>
        <w:t>成员对需要共同认定的事项存在争议的，按照少数服从多数的原则</w:t>
      </w:r>
      <w:r>
        <w:rPr>
          <w:rFonts w:hint="eastAsia" w:ascii="宋体" w:hAnsi="宋体" w:eastAsia="宋体" w:cs="宋体"/>
          <w:color w:val="auto"/>
          <w:kern w:val="0"/>
          <w:szCs w:val="21"/>
          <w:highlight w:val="none"/>
        </w:rPr>
        <w:t>做</w:t>
      </w:r>
      <w:r>
        <w:rPr>
          <w:rFonts w:hint="eastAsia" w:ascii="宋体" w:hAnsi="宋体" w:eastAsia="宋体" w:cs="宋体"/>
          <w:color w:val="auto"/>
          <w:szCs w:val="21"/>
          <w:highlight w:val="none"/>
        </w:rPr>
        <w:t>出结论。持不同意见的</w:t>
      </w:r>
      <w:r>
        <w:rPr>
          <w:rFonts w:hint="eastAsia" w:ascii="宋体" w:hAnsi="宋体" w:eastAsia="宋体" w:cs="宋体"/>
          <w:color w:val="auto"/>
          <w:szCs w:val="21"/>
          <w:highlight w:val="none"/>
          <w:lang w:eastAsia="zh-CN"/>
        </w:rPr>
        <w:t>磋商小组</w:t>
      </w:r>
      <w:r>
        <w:rPr>
          <w:rFonts w:hint="eastAsia" w:ascii="宋体" w:hAnsi="宋体" w:eastAsia="宋体" w:cs="宋体"/>
          <w:color w:val="auto"/>
          <w:szCs w:val="21"/>
          <w:highlight w:val="none"/>
        </w:rPr>
        <w:t>成员应当在评</w:t>
      </w:r>
      <w:r>
        <w:rPr>
          <w:rFonts w:hint="eastAsia" w:ascii="宋体" w:hAnsi="宋体" w:eastAsia="宋体" w:cs="宋体"/>
          <w:color w:val="auto"/>
          <w:szCs w:val="21"/>
          <w:highlight w:val="none"/>
          <w:lang w:val="en-US" w:eastAsia="zh-CN"/>
        </w:rPr>
        <w:t>审</w:t>
      </w:r>
      <w:r>
        <w:rPr>
          <w:rFonts w:hint="eastAsia" w:ascii="宋体" w:hAnsi="宋体" w:eastAsia="宋体" w:cs="宋体"/>
          <w:color w:val="auto"/>
          <w:szCs w:val="21"/>
          <w:highlight w:val="none"/>
        </w:rPr>
        <w:t>报告上签署不同意见</w:t>
      </w:r>
      <w:r>
        <w:rPr>
          <w:rFonts w:hint="eastAsia" w:ascii="宋体" w:hAnsi="宋体" w:eastAsia="宋体" w:cs="宋体"/>
          <w:color w:val="auto"/>
          <w:kern w:val="0"/>
          <w:szCs w:val="21"/>
          <w:highlight w:val="none"/>
        </w:rPr>
        <w:t>并说明</w:t>
      </w:r>
      <w:r>
        <w:rPr>
          <w:rFonts w:hint="eastAsia" w:ascii="宋体" w:hAnsi="宋体" w:eastAsia="宋体" w:cs="宋体"/>
          <w:color w:val="auto"/>
          <w:szCs w:val="21"/>
          <w:highlight w:val="none"/>
        </w:rPr>
        <w:t>理由，否则视为同意。</w:t>
      </w:r>
    </w:p>
    <w:p w14:paraId="7D256252">
      <w:pPr>
        <w:keepNext w:val="0"/>
        <w:keepLines w:val="0"/>
        <w:pageBreakBefore w:val="0"/>
        <w:widowControl w:val="0"/>
        <w:kinsoku/>
        <w:wordWrap/>
        <w:overflowPunct/>
        <w:topLinePunct w:val="0"/>
        <w:bidi w:val="0"/>
        <w:snapToGrid w:val="0"/>
        <w:spacing w:line="360" w:lineRule="auto"/>
        <w:ind w:firstLine="422" w:firstLineChars="200"/>
        <w:jc w:val="left"/>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2</w:t>
      </w:r>
      <w:r>
        <w:rPr>
          <w:rFonts w:hint="eastAsia" w:ascii="宋体" w:hAnsi="宋体" w:eastAsia="宋体" w:cs="宋体"/>
          <w:b/>
          <w:bCs/>
          <w:color w:val="auto"/>
          <w:szCs w:val="21"/>
          <w:highlight w:val="none"/>
          <w:lang w:val="en-US" w:eastAsia="zh-CN"/>
        </w:rPr>
        <w:t>5</w:t>
      </w:r>
      <w:r>
        <w:rPr>
          <w:rFonts w:hint="eastAsia" w:ascii="宋体" w:hAnsi="宋体" w:eastAsia="宋体" w:cs="宋体"/>
          <w:b/>
          <w:bCs/>
          <w:color w:val="auto"/>
          <w:szCs w:val="21"/>
          <w:highlight w:val="none"/>
        </w:rPr>
        <w:t xml:space="preserve">. </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bCs/>
          <w:color w:val="auto"/>
          <w:szCs w:val="21"/>
          <w:highlight w:val="none"/>
        </w:rPr>
        <w:t>文件的初审</w:t>
      </w:r>
    </w:p>
    <w:p w14:paraId="50CA12E8">
      <w:pPr>
        <w:pStyle w:val="29"/>
        <w:keepNext w:val="0"/>
        <w:keepLines w:val="0"/>
        <w:pageBreakBefore w:val="0"/>
        <w:widowControl w:val="0"/>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.1对所有</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的评估，都采用相同的程序和标准。评标过程将严格按照</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文件的要求和条件进行。</w:t>
      </w:r>
    </w:p>
    <w:p w14:paraId="4D21098C">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.2 </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将对</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进行检查，以确定</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是否完整、有无计算上的错误、文件是否已正确签署等。</w:t>
      </w:r>
    </w:p>
    <w:p w14:paraId="710CC8D3">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.3 </w:t>
      </w: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报价出现前后不一致的，除</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文件另有规定外，修正错误的原则如下：</w:t>
      </w:r>
    </w:p>
    <w:p w14:paraId="68570D51">
      <w:pPr>
        <w:pStyle w:val="29"/>
        <w:keepNext w:val="0"/>
        <w:keepLines w:val="0"/>
        <w:pageBreakBefore w:val="0"/>
        <w:widowControl w:val="0"/>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.3.1</w:t>
      </w:r>
      <w:r>
        <w:rPr>
          <w:rFonts w:hint="eastAsia" w:ascii="宋体" w:hAnsi="宋体" w:eastAsia="宋体" w:cs="宋体"/>
          <w:color w:val="auto"/>
          <w:sz w:val="21"/>
          <w:szCs w:val="21"/>
          <w:highlight w:val="none"/>
          <w:lang w:val="en-US" w:eastAsia="zh-CN"/>
        </w:rPr>
        <w:t>响应文件</w:t>
      </w:r>
      <w:r>
        <w:rPr>
          <w:rFonts w:hint="eastAsia" w:ascii="宋体" w:hAnsi="宋体" w:cs="宋体"/>
          <w:color w:val="auto"/>
          <w:sz w:val="21"/>
          <w:szCs w:val="21"/>
          <w:highlight w:val="none"/>
          <w:shd w:val="clear" w:color="auto" w:fill="FFFFFF"/>
          <w:lang w:eastAsia="zh-CN"/>
        </w:rPr>
        <w:t>初次报价一览表</w:t>
      </w:r>
      <w:r>
        <w:rPr>
          <w:rFonts w:hint="eastAsia" w:ascii="宋体" w:hAnsi="宋体" w:eastAsia="宋体" w:cs="宋体"/>
          <w:color w:val="auto"/>
          <w:sz w:val="21"/>
          <w:szCs w:val="21"/>
          <w:highlight w:val="none"/>
          <w:shd w:val="clear" w:color="auto" w:fill="FFFFFF"/>
        </w:rPr>
        <w:t>（报价表）内容与</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 w:val="21"/>
          <w:szCs w:val="21"/>
          <w:highlight w:val="none"/>
          <w:shd w:val="clear" w:color="auto" w:fill="FFFFFF"/>
        </w:rPr>
        <w:t>中相应内容不一致的，以</w:t>
      </w:r>
      <w:r>
        <w:rPr>
          <w:rFonts w:hint="eastAsia" w:ascii="宋体" w:hAnsi="宋体" w:cs="宋体"/>
          <w:color w:val="auto"/>
          <w:sz w:val="21"/>
          <w:szCs w:val="21"/>
          <w:highlight w:val="none"/>
          <w:shd w:val="clear" w:color="auto" w:fill="FFFFFF"/>
          <w:lang w:eastAsia="zh-CN"/>
        </w:rPr>
        <w:t>初次报价一览表</w:t>
      </w:r>
      <w:r>
        <w:rPr>
          <w:rFonts w:hint="eastAsia" w:ascii="宋体" w:hAnsi="宋体" w:eastAsia="宋体" w:cs="宋体"/>
          <w:color w:val="auto"/>
          <w:sz w:val="21"/>
          <w:szCs w:val="21"/>
          <w:highlight w:val="none"/>
          <w:shd w:val="clear" w:color="auto" w:fill="FFFFFF"/>
        </w:rPr>
        <w:t>（报价表）为准；</w:t>
      </w:r>
    </w:p>
    <w:p w14:paraId="1ADAAFA0">
      <w:pPr>
        <w:pStyle w:val="29"/>
        <w:keepNext w:val="0"/>
        <w:keepLines w:val="0"/>
        <w:pageBreakBefore w:val="0"/>
        <w:widowControl w:val="0"/>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.3.2</w:t>
      </w:r>
      <w:r>
        <w:rPr>
          <w:rFonts w:hint="eastAsia" w:ascii="宋体" w:hAnsi="宋体" w:eastAsia="宋体" w:cs="宋体"/>
          <w:color w:val="auto"/>
          <w:sz w:val="21"/>
          <w:szCs w:val="21"/>
          <w:highlight w:val="none"/>
          <w:shd w:val="clear" w:color="auto" w:fill="FFFFFF"/>
        </w:rPr>
        <w:t>大写金额</w:t>
      </w:r>
      <w:r>
        <w:rPr>
          <w:rFonts w:hint="eastAsia" w:ascii="宋体" w:hAnsi="宋体" w:eastAsia="宋体" w:cs="宋体"/>
          <w:color w:val="auto"/>
          <w:sz w:val="21"/>
          <w:szCs w:val="21"/>
          <w:highlight w:val="none"/>
        </w:rPr>
        <w:t>与</w:t>
      </w:r>
      <w:r>
        <w:rPr>
          <w:rFonts w:hint="eastAsia" w:ascii="宋体" w:hAnsi="宋体" w:eastAsia="宋体" w:cs="宋体"/>
          <w:color w:val="auto"/>
          <w:sz w:val="21"/>
          <w:szCs w:val="21"/>
          <w:highlight w:val="none"/>
          <w:shd w:val="clear" w:color="auto" w:fill="FFFFFF"/>
        </w:rPr>
        <w:t>小写金额不一致的，以大写金额为准；</w:t>
      </w:r>
    </w:p>
    <w:p w14:paraId="6C7DF07D">
      <w:pPr>
        <w:pStyle w:val="29"/>
        <w:keepNext w:val="0"/>
        <w:keepLines w:val="0"/>
        <w:pageBreakBefore w:val="0"/>
        <w:widowControl w:val="0"/>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.3.3</w:t>
      </w:r>
      <w:r>
        <w:rPr>
          <w:rFonts w:hint="eastAsia" w:ascii="宋体" w:hAnsi="宋体" w:eastAsia="宋体" w:cs="宋体"/>
          <w:color w:val="auto"/>
          <w:sz w:val="21"/>
          <w:szCs w:val="21"/>
          <w:highlight w:val="none"/>
          <w:shd w:val="clear" w:color="auto" w:fill="FFFFFF"/>
        </w:rPr>
        <w:t>单价金额小数点或者百分比有明显错位的，以</w:t>
      </w:r>
      <w:r>
        <w:rPr>
          <w:rFonts w:hint="eastAsia" w:ascii="宋体" w:hAnsi="宋体" w:cs="宋体"/>
          <w:color w:val="auto"/>
          <w:sz w:val="21"/>
          <w:szCs w:val="21"/>
          <w:highlight w:val="none"/>
          <w:shd w:val="clear" w:color="auto" w:fill="FFFFFF"/>
          <w:lang w:eastAsia="zh-CN"/>
        </w:rPr>
        <w:t>初次报价一览表</w:t>
      </w:r>
      <w:r>
        <w:rPr>
          <w:rFonts w:hint="eastAsia" w:ascii="宋体" w:hAnsi="宋体" w:eastAsia="宋体" w:cs="宋体"/>
          <w:color w:val="auto"/>
          <w:sz w:val="21"/>
          <w:szCs w:val="21"/>
          <w:highlight w:val="none"/>
          <w:shd w:val="clear" w:color="auto" w:fill="FFFFFF"/>
        </w:rPr>
        <w:t>的总价为准，并修改单价；</w:t>
      </w:r>
    </w:p>
    <w:p w14:paraId="1F9FF374">
      <w:pPr>
        <w:pStyle w:val="29"/>
        <w:keepNext w:val="0"/>
        <w:keepLines w:val="0"/>
        <w:pageBreakBefore w:val="0"/>
        <w:widowControl w:val="0"/>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.3.4</w:t>
      </w:r>
      <w:r>
        <w:rPr>
          <w:rFonts w:hint="eastAsia" w:ascii="宋体" w:hAnsi="宋体" w:eastAsia="宋体" w:cs="宋体"/>
          <w:color w:val="auto"/>
          <w:sz w:val="21"/>
          <w:szCs w:val="21"/>
          <w:highlight w:val="none"/>
          <w:shd w:val="clear" w:color="auto" w:fill="FFFFFF"/>
        </w:rPr>
        <w:t>总价金额与按单价汇总金额不一致的，以单价金额计算结果为准。</w:t>
      </w:r>
    </w:p>
    <w:p w14:paraId="7C4CB3D0">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.3.5对不同文字文本</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文件的解释发生异议的，以中文文本为准。</w:t>
      </w:r>
    </w:p>
    <w:p w14:paraId="59EED929">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.3.6同时出现两种以上不一致的，按照前款规定的顺序修正。修正后的报价按照财政部87号令第五十一条第二款的规定经</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确认后产生约束力，</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不确认的，其投标无效。</w:t>
      </w:r>
    </w:p>
    <w:p w14:paraId="747D0E5E">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 资格性检查和符合性检查。</w:t>
      </w:r>
    </w:p>
    <w:p w14:paraId="52F59A10">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.4.1</w:t>
      </w:r>
      <w:r>
        <w:rPr>
          <w:rFonts w:hint="eastAsia" w:ascii="宋体" w:hAnsi="宋体" w:eastAsia="宋体" w:cs="宋体"/>
          <w:color w:val="auto"/>
          <w:szCs w:val="21"/>
          <w:highlight w:val="none"/>
        </w:rPr>
        <w:t>资格性检查。依据法规政策和</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文件的规定，在对</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详细评估之前，采购人将依据</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提交的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公告第二项和</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文件第三章4.</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应提交的证明文件所述的资格标准对</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进行资格审查,以确定其是否具备</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资格。如果</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不具备</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资格、不满足</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文件所规定的资格标准或提供资格证明文件不全,其投标将被作为无效</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。在审查过程中，采购人有权要求</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文件的规定提供相关资格证明材料的原件以供审查。</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应在规定的时限内提供。</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拒不提供的，或者不能在规定时限内提供的，视为其不具备该资格条件。</w:t>
      </w:r>
    </w:p>
    <w:p w14:paraId="35C9684F">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.4.2 资格审查后合格的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不足3家的，不得评标。</w:t>
      </w:r>
    </w:p>
    <w:p w14:paraId="1249BC3D">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.4.3 符合性检查。依据</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将从</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的有效性、完整性和对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文件的响应程度进行审查，以确定是否符合对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文件的实质性要求作出响应。对没有实质性响应的</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文件将不进行评估，其投标被作为无效</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。凡有下列情况之一者，</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文件也将被视为未实质性响应</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w:t>
      </w:r>
    </w:p>
    <w:p w14:paraId="10779D1D">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未按规定签字、盖章的。</w:t>
      </w:r>
    </w:p>
    <w:p w14:paraId="5FFCB899">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未能出具有效身份证明，或与身份不符的。</w:t>
      </w:r>
    </w:p>
    <w:p w14:paraId="3095CDCE">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（3）资格证明文件不全的，或不符合</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文件标明的资格要求的。</w:t>
      </w:r>
    </w:p>
    <w:p w14:paraId="41FCC428">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有效期、</w:t>
      </w:r>
      <w:r>
        <w:rPr>
          <w:rFonts w:hint="eastAsia" w:ascii="宋体" w:hAnsi="宋体" w:cs="宋体"/>
          <w:color w:val="auto"/>
          <w:szCs w:val="21"/>
          <w:highlight w:val="none"/>
          <w:lang w:val="en-US" w:eastAsia="zh-CN"/>
        </w:rPr>
        <w:t>交货期</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质量</w:t>
      </w:r>
      <w:r>
        <w:rPr>
          <w:rFonts w:hint="eastAsia" w:ascii="宋体" w:hAnsi="宋体" w:eastAsia="宋体" w:cs="宋体"/>
          <w:color w:val="auto"/>
          <w:szCs w:val="21"/>
          <w:highlight w:val="none"/>
        </w:rPr>
        <w:t>等不满足</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文件要求的。</w:t>
      </w:r>
    </w:p>
    <w:p w14:paraId="769460DC">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（5）未按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文件提供的格式填列、项目不齐全或内容虚假的。</w:t>
      </w:r>
    </w:p>
    <w:p w14:paraId="1E471BD3">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的实质性内容未使用中文表述，或意思表述不明确，或前后矛盾，或使用计量单位不符合</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文件要求的。</w:t>
      </w:r>
    </w:p>
    <w:p w14:paraId="247E7DF6">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（7）</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的关键内容字迹模糊、无法辨认,或</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szCs w:val="21"/>
          <w:highlight w:val="none"/>
        </w:rPr>
        <w:t>文件中经修正的内容字迹模糊无法辩认，或修改处未按规定签名盖章的。</w:t>
      </w:r>
    </w:p>
    <w:p w14:paraId="6DD6D00F">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szCs w:val="21"/>
          <w:highlight w:val="none"/>
        </w:rPr>
        <w:t>（8）</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内容未按</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文件响应的。</w:t>
      </w:r>
    </w:p>
    <w:p w14:paraId="6873DFD5">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（9）不符合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文件中规定的其它实质性条款。</w:t>
      </w:r>
    </w:p>
    <w:p w14:paraId="2D6BBCCF">
      <w:pPr>
        <w:keepNext w:val="0"/>
        <w:keepLines w:val="0"/>
        <w:pageBreakBefore w:val="0"/>
        <w:widowControl w:val="0"/>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决定投标的响应性只根据</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文件本身的内容，而不寻求其他的外部证据。</w:t>
      </w:r>
    </w:p>
    <w:p w14:paraId="028A0315">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.4.4 对资格性检查和符合性检查不合格的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，将</w:t>
      </w:r>
      <w:r>
        <w:rPr>
          <w:rFonts w:hint="eastAsia" w:ascii="宋体" w:hAnsi="宋体" w:eastAsia="宋体" w:cs="宋体"/>
          <w:color w:val="auto"/>
          <w:kern w:val="0"/>
          <w:szCs w:val="21"/>
          <w:highlight w:val="none"/>
          <w:lang w:val="en-US" w:eastAsia="zh-CN"/>
        </w:rPr>
        <w:t>通过评标系统</w:t>
      </w:r>
      <w:r>
        <w:rPr>
          <w:rFonts w:hint="eastAsia" w:ascii="宋体" w:hAnsi="宋体" w:eastAsia="宋体" w:cs="宋体"/>
          <w:color w:val="auto"/>
          <w:kern w:val="0"/>
          <w:szCs w:val="21"/>
          <w:highlight w:val="none"/>
        </w:rPr>
        <w:t>告知其理由。</w:t>
      </w:r>
    </w:p>
    <w:p w14:paraId="787F8DD5">
      <w:pPr>
        <w:pStyle w:val="29"/>
        <w:keepNext w:val="0"/>
        <w:keepLines w:val="0"/>
        <w:pageBreakBefore w:val="0"/>
        <w:widowControl w:val="0"/>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 在评审过程中，</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发现</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有下列情形之一的，视为</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串通投标，其</w:t>
      </w:r>
      <w:r>
        <w:rPr>
          <w:rFonts w:hint="eastAsia" w:ascii="宋体" w:hAnsi="宋体" w:eastAsia="宋体" w:cs="宋体"/>
          <w:color w:val="auto"/>
          <w:sz w:val="21"/>
          <w:szCs w:val="21"/>
          <w:highlight w:val="none"/>
          <w:lang w:val="en-US" w:eastAsia="zh-CN"/>
        </w:rPr>
        <w:t>磋商</w:t>
      </w:r>
      <w:r>
        <w:rPr>
          <w:rFonts w:hint="eastAsia" w:ascii="宋体" w:hAnsi="宋体" w:eastAsia="宋体" w:cs="宋体"/>
          <w:color w:val="auto"/>
          <w:sz w:val="21"/>
          <w:szCs w:val="21"/>
          <w:highlight w:val="none"/>
        </w:rPr>
        <w:t>无效：</w:t>
      </w:r>
    </w:p>
    <w:p w14:paraId="6EB3F1E5">
      <w:pPr>
        <w:keepNext w:val="0"/>
        <w:keepLines w:val="0"/>
        <w:pageBreakBefore w:val="0"/>
        <w:widowControl w:val="0"/>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.5.1不同</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异常一致。</w:t>
      </w:r>
    </w:p>
    <w:p w14:paraId="520E1417">
      <w:pPr>
        <w:keepNext w:val="0"/>
        <w:keepLines w:val="0"/>
        <w:pageBreakBefore w:val="0"/>
        <w:widowControl w:val="0"/>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.5.2不同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由同一单位或者个人编制；</w:t>
      </w:r>
    </w:p>
    <w:p w14:paraId="6E5F537F">
      <w:pPr>
        <w:keepNext w:val="0"/>
        <w:keepLines w:val="0"/>
        <w:pageBreakBefore w:val="0"/>
        <w:widowControl w:val="0"/>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.5.3不同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委托同一单位或者个人办理投标事宜；</w:t>
      </w:r>
    </w:p>
    <w:p w14:paraId="65056B66">
      <w:pPr>
        <w:keepNext w:val="0"/>
        <w:keepLines w:val="0"/>
        <w:pageBreakBefore w:val="0"/>
        <w:widowControl w:val="0"/>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.5.4不同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载明的项目管理成员或者联系人员为同一人；　　</w:t>
      </w:r>
    </w:p>
    <w:p w14:paraId="09540E23">
      <w:pPr>
        <w:keepNext w:val="0"/>
        <w:keepLines w:val="0"/>
        <w:pageBreakBefore w:val="0"/>
        <w:widowControl w:val="0"/>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.5.5不同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相互混装；</w:t>
      </w:r>
    </w:p>
    <w:p w14:paraId="7943C61D">
      <w:pPr>
        <w:keepNext w:val="0"/>
        <w:keepLines w:val="0"/>
        <w:pageBreakBefore w:val="0"/>
        <w:widowControl w:val="0"/>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5</w:t>
      </w:r>
      <w:r>
        <w:rPr>
          <w:rFonts w:hint="eastAsia" w:ascii="宋体" w:hAnsi="宋体" w:eastAsia="宋体" w:cs="宋体"/>
          <w:color w:val="auto"/>
          <w:szCs w:val="21"/>
          <w:highlight w:val="none"/>
        </w:rPr>
        <w:t>.5.6不同</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的投标保证金从同一单位或者个人的账户转出（若收取）。</w:t>
      </w:r>
    </w:p>
    <w:p w14:paraId="2B7774B7">
      <w:pPr>
        <w:keepNext w:val="0"/>
        <w:keepLines w:val="0"/>
        <w:pageBreakBefore w:val="0"/>
        <w:widowControl w:val="0"/>
        <w:kinsoku/>
        <w:wordWrap/>
        <w:overflowPunct/>
        <w:topLinePunct w:val="0"/>
        <w:bidi w:val="0"/>
        <w:adjustRightInd w:val="0"/>
        <w:snapToGrid w:val="0"/>
        <w:spacing w:line="360" w:lineRule="auto"/>
        <w:ind w:left="19" w:leftChars="9" w:firstLine="399" w:firstLineChars="190"/>
        <w:jc w:val="left"/>
        <w:textAlignment w:val="baseline"/>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.5.7 有证据证明</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串通投标的其他情形的；</w:t>
      </w:r>
    </w:p>
    <w:p w14:paraId="0F52AFC1">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.5.8 不同</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制作机器码一致；</w:t>
      </w:r>
    </w:p>
    <w:p w14:paraId="6FF5DF30">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5</w:t>
      </w:r>
      <w:r>
        <w:rPr>
          <w:rFonts w:hint="eastAsia" w:ascii="宋体" w:hAnsi="宋体" w:eastAsia="宋体" w:cs="宋体"/>
          <w:color w:val="auto"/>
          <w:kern w:val="0"/>
          <w:szCs w:val="21"/>
          <w:highlight w:val="none"/>
        </w:rPr>
        <w:t xml:space="preserve">.5.9 </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认定的其他串通投标情形。</w:t>
      </w:r>
    </w:p>
    <w:p w14:paraId="7CFE49DB">
      <w:pPr>
        <w:keepNext w:val="0"/>
        <w:keepLines w:val="0"/>
        <w:pageBreakBefore w:val="0"/>
        <w:widowControl w:val="0"/>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6</w:t>
      </w:r>
      <w:r>
        <w:rPr>
          <w:rFonts w:hint="eastAsia" w:ascii="宋体" w:hAnsi="宋体" w:eastAsia="宋体" w:cs="宋体"/>
          <w:b/>
          <w:bCs/>
          <w:color w:val="auto"/>
          <w:kern w:val="0"/>
          <w:szCs w:val="21"/>
          <w:highlight w:val="none"/>
        </w:rPr>
        <w:t xml:space="preserve">. </w:t>
      </w:r>
      <w:r>
        <w:rPr>
          <w:rFonts w:hint="eastAsia" w:ascii="宋体" w:hAnsi="宋体" w:eastAsia="宋体" w:cs="宋体"/>
          <w:b/>
          <w:bCs/>
          <w:color w:val="auto"/>
          <w:kern w:val="0"/>
          <w:szCs w:val="21"/>
          <w:highlight w:val="none"/>
          <w:lang w:val="en-US" w:eastAsia="zh-CN"/>
        </w:rPr>
        <w:t>响应</w:t>
      </w:r>
      <w:r>
        <w:rPr>
          <w:rFonts w:hint="eastAsia" w:ascii="宋体" w:hAnsi="宋体" w:eastAsia="宋体" w:cs="宋体"/>
          <w:b/>
          <w:bCs/>
          <w:color w:val="auto"/>
          <w:kern w:val="0"/>
          <w:szCs w:val="21"/>
          <w:highlight w:val="none"/>
        </w:rPr>
        <w:t>文件的澄清</w:t>
      </w:r>
    </w:p>
    <w:p w14:paraId="17ABD18E">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对</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文件中含义不明确、同类问题表述不一致或者有明显文字和计算错误的内容，</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可以书面形式要求</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作出必要的澄清。</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的澄清应当在</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规定的时间内以书面形式作出，由其</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代表签字。但澄清事项不得超出</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文件的范围，不得实质性改变</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文件的内容，不得通过澄清等方式对</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实行差别对待。</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不得接受</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主动提出的澄清和解释。</w:t>
      </w:r>
    </w:p>
    <w:p w14:paraId="37B06897">
      <w:pPr>
        <w:keepNext w:val="0"/>
        <w:keepLines w:val="0"/>
        <w:pageBreakBefore w:val="0"/>
        <w:widowControl w:val="0"/>
        <w:kinsoku/>
        <w:wordWrap/>
        <w:overflowPunct/>
        <w:topLinePunct w:val="0"/>
        <w:bidi w:val="0"/>
        <w:snapToGrid w:val="0"/>
        <w:spacing w:line="360" w:lineRule="auto"/>
        <w:ind w:firstLine="422" w:firstLineChars="200"/>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7</w:t>
      </w:r>
      <w:r>
        <w:rPr>
          <w:rFonts w:hint="eastAsia" w:ascii="宋体" w:hAnsi="宋体" w:eastAsia="宋体" w:cs="宋体"/>
          <w:b/>
          <w:bCs/>
          <w:color w:val="auto"/>
          <w:kern w:val="0"/>
          <w:szCs w:val="21"/>
          <w:highlight w:val="none"/>
        </w:rPr>
        <w:t>. 比较与评价</w:t>
      </w:r>
    </w:p>
    <w:p w14:paraId="7821AE00">
      <w:pPr>
        <w:pStyle w:val="29"/>
        <w:keepNext w:val="0"/>
        <w:keepLines w:val="0"/>
        <w:pageBreakBefore w:val="0"/>
        <w:widowControl w:val="0"/>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 xml:space="preserve">.1 </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将按本</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文件规定的评标方法与标准，对资格性检查和符合性检查合格的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 w:val="21"/>
          <w:szCs w:val="21"/>
          <w:highlight w:val="none"/>
        </w:rPr>
        <w:t>进行商务和技术评估，综合比较与评价。</w:t>
      </w:r>
    </w:p>
    <w:p w14:paraId="106BCFA2">
      <w:pPr>
        <w:pStyle w:val="29"/>
        <w:keepNext w:val="0"/>
        <w:keepLines w:val="0"/>
        <w:pageBreakBefore w:val="0"/>
        <w:widowControl w:val="0"/>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.2对漏（缺）报项的处理：</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文件中要求列入报价的费用（含配置、功能），漏（缺）报的视同已含在投标总价中。</w:t>
      </w:r>
    </w:p>
    <w:p w14:paraId="2C46633B">
      <w:pPr>
        <w:pStyle w:val="29"/>
        <w:keepNext w:val="0"/>
        <w:keepLines w:val="0"/>
        <w:pageBreakBefore w:val="0"/>
        <w:widowControl w:val="0"/>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.3</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认为</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的报价明显低于其他通过符合性审查</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的报价，有可能影响产品质量或者不能诚信履约的，应当要求其在评标现场合理的时间内提供书面说明，必要时提交相关证明材料；</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不能证明其报价合理性的，</w:t>
      </w:r>
      <w:r>
        <w:rPr>
          <w:rFonts w:hint="eastAsia" w:ascii="宋体" w:hAnsi="宋体" w:eastAsia="宋体" w:cs="宋体"/>
          <w:color w:val="auto"/>
          <w:sz w:val="21"/>
          <w:szCs w:val="21"/>
          <w:highlight w:val="none"/>
          <w:lang w:eastAsia="zh-CN"/>
        </w:rPr>
        <w:t>磋商小组</w:t>
      </w:r>
      <w:r>
        <w:rPr>
          <w:rFonts w:hint="eastAsia" w:ascii="宋体" w:hAnsi="宋体" w:eastAsia="宋体" w:cs="宋体"/>
          <w:color w:val="auto"/>
          <w:sz w:val="21"/>
          <w:szCs w:val="21"/>
          <w:highlight w:val="none"/>
        </w:rPr>
        <w:t>应当将其作为无效投标处理。</w:t>
      </w:r>
    </w:p>
    <w:p w14:paraId="30B80D96">
      <w:pPr>
        <w:keepNext w:val="0"/>
        <w:keepLines w:val="0"/>
        <w:pageBreakBefore w:val="0"/>
        <w:widowControl w:val="0"/>
        <w:kinsoku/>
        <w:wordWrap/>
        <w:overflowPunct/>
        <w:topLinePunct w:val="0"/>
        <w:bidi w:val="0"/>
        <w:snapToGrid w:val="0"/>
        <w:spacing w:line="360" w:lineRule="auto"/>
        <w:ind w:firstLine="422" w:firstLineChars="200"/>
        <w:jc w:val="lef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2</w:t>
      </w:r>
      <w:r>
        <w:rPr>
          <w:rFonts w:hint="eastAsia" w:ascii="宋体" w:hAnsi="宋体" w:eastAsia="宋体" w:cs="宋体"/>
          <w:b/>
          <w:bCs/>
          <w:color w:val="auto"/>
          <w:kern w:val="0"/>
          <w:szCs w:val="21"/>
          <w:highlight w:val="none"/>
          <w:lang w:val="en-US" w:eastAsia="zh-CN"/>
        </w:rPr>
        <w:t>8</w:t>
      </w:r>
      <w:r>
        <w:rPr>
          <w:rFonts w:hint="eastAsia" w:ascii="宋体" w:hAnsi="宋体" w:eastAsia="宋体" w:cs="宋体"/>
          <w:b/>
          <w:bCs/>
          <w:color w:val="auto"/>
          <w:kern w:val="0"/>
          <w:szCs w:val="21"/>
          <w:highlight w:val="none"/>
        </w:rPr>
        <w:t>. 评标过程及保密原则</w:t>
      </w:r>
    </w:p>
    <w:p w14:paraId="2653547A">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rPr>
        <w:t>.1 凡与本次</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有关人员对属于审查、澄清、评价和比较</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的有关资料以及定标意向等，均不得向</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或其他人员透露。否则,将按有关规定追究相关人员的责任。</w:t>
      </w:r>
    </w:p>
    <w:p w14:paraId="669DACB5">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val="en-US" w:eastAsia="zh-CN"/>
        </w:rPr>
        <w:t>8</w:t>
      </w:r>
      <w:r>
        <w:rPr>
          <w:rFonts w:hint="eastAsia" w:ascii="宋体" w:hAnsi="宋体" w:eastAsia="宋体" w:cs="宋体"/>
          <w:color w:val="auto"/>
          <w:kern w:val="0"/>
          <w:szCs w:val="21"/>
          <w:highlight w:val="none"/>
        </w:rPr>
        <w:t>.2 在评标期间，</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试图影响或干预评审的任何行为，将导致其</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被作为无效</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，并承担相应的法律责任。</w:t>
      </w:r>
    </w:p>
    <w:p w14:paraId="3822DA9A">
      <w:pPr>
        <w:keepNext w:val="0"/>
        <w:keepLines w:val="0"/>
        <w:pageBreakBefore w:val="0"/>
        <w:widowControl w:val="0"/>
        <w:kinsoku/>
        <w:wordWrap/>
        <w:overflowPunct/>
        <w:topLinePunct w:val="0"/>
        <w:bidi w:val="0"/>
        <w:snapToGrid w:val="0"/>
        <w:spacing w:line="360" w:lineRule="auto"/>
        <w:ind w:firstLine="422" w:firstLineChars="200"/>
        <w:jc w:val="left"/>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lang w:val="en-US" w:eastAsia="zh-CN"/>
        </w:rPr>
        <w:t>29</w:t>
      </w:r>
      <w:r>
        <w:rPr>
          <w:rFonts w:hint="eastAsia" w:ascii="宋体" w:hAnsi="宋体" w:eastAsia="宋体" w:cs="宋体"/>
          <w:b/>
          <w:color w:val="auto"/>
          <w:kern w:val="0"/>
          <w:szCs w:val="21"/>
          <w:highlight w:val="none"/>
        </w:rPr>
        <w:t>.评标异议登记</w:t>
      </w:r>
    </w:p>
    <w:p w14:paraId="5D87B32B">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4"/>
          <w:highlight w:val="none"/>
        </w:rPr>
      </w:pPr>
      <w:r>
        <w:rPr>
          <w:rFonts w:hint="eastAsia" w:ascii="宋体" w:hAnsi="宋体" w:eastAsia="宋体" w:cs="宋体"/>
          <w:bCs/>
          <w:color w:val="auto"/>
          <w:kern w:val="0"/>
          <w:szCs w:val="21"/>
          <w:highlight w:val="none"/>
        </w:rPr>
        <w:t>采购人</w:t>
      </w:r>
      <w:r>
        <w:rPr>
          <w:rFonts w:hint="eastAsia" w:ascii="宋体" w:hAnsi="宋体" w:eastAsia="宋体" w:cs="宋体"/>
          <w:color w:val="auto"/>
          <w:kern w:val="0"/>
          <w:szCs w:val="21"/>
          <w:highlight w:val="none"/>
        </w:rPr>
        <w:t>工作人员对评审专家等相关人员在评审过程中发现、提出的异议进行逐项登记。</w:t>
      </w:r>
    </w:p>
    <w:p w14:paraId="17BB06DE">
      <w:pPr>
        <w:keepNext w:val="0"/>
        <w:keepLines w:val="0"/>
        <w:pageBreakBefore w:val="0"/>
        <w:widowControl w:val="0"/>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六</w:t>
      </w:r>
      <w:r>
        <w:rPr>
          <w:rFonts w:hint="eastAsia" w:ascii="宋体" w:hAnsi="宋体" w:eastAsia="宋体" w:cs="宋体"/>
          <w:b/>
          <w:bCs/>
          <w:color w:val="auto"/>
          <w:kern w:val="0"/>
          <w:sz w:val="28"/>
          <w:szCs w:val="28"/>
          <w:highlight w:val="none"/>
        </w:rPr>
        <w:t>、定标</w:t>
      </w:r>
    </w:p>
    <w:p w14:paraId="69E09493">
      <w:pPr>
        <w:keepNext w:val="0"/>
        <w:keepLines w:val="0"/>
        <w:pageBreakBefore w:val="0"/>
        <w:widowControl w:val="0"/>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0</w:t>
      </w:r>
      <w:r>
        <w:rPr>
          <w:rFonts w:hint="eastAsia" w:ascii="宋体" w:hAnsi="宋体" w:eastAsia="宋体" w:cs="宋体"/>
          <w:b/>
          <w:bCs/>
          <w:color w:val="auto"/>
          <w:kern w:val="0"/>
          <w:szCs w:val="21"/>
          <w:highlight w:val="none"/>
        </w:rPr>
        <w:t>. 定标原则</w:t>
      </w:r>
    </w:p>
    <w:p w14:paraId="4E6DB8B8">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0</w:t>
      </w:r>
      <w:r>
        <w:rPr>
          <w:rFonts w:hint="eastAsia" w:ascii="宋体" w:hAnsi="宋体" w:eastAsia="宋体" w:cs="宋体"/>
          <w:bCs/>
          <w:color w:val="auto"/>
          <w:kern w:val="0"/>
          <w:szCs w:val="21"/>
          <w:highlight w:val="none"/>
        </w:rPr>
        <w:t>.1 最低投标价不作为</w:t>
      </w:r>
      <w:r>
        <w:rPr>
          <w:rFonts w:hint="eastAsia" w:ascii="宋体" w:hAnsi="宋体" w:eastAsia="宋体" w:cs="宋体"/>
          <w:bCs/>
          <w:color w:val="auto"/>
          <w:kern w:val="0"/>
          <w:szCs w:val="21"/>
          <w:highlight w:val="none"/>
          <w:lang w:val="en-US" w:eastAsia="zh-CN"/>
        </w:rPr>
        <w:t>成交</w:t>
      </w:r>
      <w:r>
        <w:rPr>
          <w:rFonts w:hint="eastAsia" w:ascii="宋体" w:hAnsi="宋体" w:eastAsia="宋体" w:cs="宋体"/>
          <w:bCs/>
          <w:color w:val="auto"/>
          <w:kern w:val="0"/>
          <w:szCs w:val="21"/>
          <w:highlight w:val="none"/>
        </w:rPr>
        <w:t>的保证。</w:t>
      </w:r>
    </w:p>
    <w:p w14:paraId="16BFE14A">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0</w:t>
      </w:r>
      <w:r>
        <w:rPr>
          <w:rFonts w:hint="eastAsia" w:ascii="宋体" w:hAnsi="宋体" w:eastAsia="宋体" w:cs="宋体"/>
          <w:bCs/>
          <w:color w:val="auto"/>
          <w:kern w:val="0"/>
          <w:szCs w:val="21"/>
          <w:highlight w:val="none"/>
        </w:rPr>
        <w:t>.2 确定实质上响应</w:t>
      </w:r>
      <w:r>
        <w:rPr>
          <w:rFonts w:hint="eastAsia" w:ascii="宋体" w:hAnsi="宋体" w:eastAsia="宋体" w:cs="宋体"/>
          <w:bCs/>
          <w:color w:val="auto"/>
          <w:kern w:val="0"/>
          <w:szCs w:val="21"/>
          <w:highlight w:val="none"/>
          <w:lang w:val="en-US" w:eastAsia="zh-CN"/>
        </w:rPr>
        <w:t>采购</w:t>
      </w:r>
      <w:r>
        <w:rPr>
          <w:rFonts w:hint="eastAsia" w:ascii="宋体" w:hAnsi="宋体" w:eastAsia="宋体" w:cs="宋体"/>
          <w:bCs/>
          <w:color w:val="auto"/>
          <w:kern w:val="0"/>
          <w:szCs w:val="21"/>
          <w:highlight w:val="none"/>
        </w:rPr>
        <w:t>文件且满足下列条件的为</w:t>
      </w:r>
      <w:r>
        <w:rPr>
          <w:rFonts w:hint="eastAsia" w:ascii="宋体" w:hAnsi="宋体" w:eastAsia="宋体" w:cs="宋体"/>
          <w:bCs/>
          <w:color w:val="auto"/>
          <w:kern w:val="0"/>
          <w:szCs w:val="21"/>
          <w:highlight w:val="none"/>
          <w:lang w:eastAsia="zh-CN"/>
        </w:rPr>
        <w:t>成交候选供应商</w:t>
      </w:r>
      <w:r>
        <w:rPr>
          <w:rFonts w:hint="eastAsia" w:ascii="宋体" w:hAnsi="宋体" w:eastAsia="宋体" w:cs="宋体"/>
          <w:bCs/>
          <w:color w:val="auto"/>
          <w:kern w:val="0"/>
          <w:szCs w:val="21"/>
          <w:highlight w:val="none"/>
        </w:rPr>
        <w:t>（或</w:t>
      </w:r>
      <w:r>
        <w:rPr>
          <w:rFonts w:hint="eastAsia" w:ascii="宋体" w:hAnsi="宋体" w:eastAsia="宋体" w:cs="宋体"/>
          <w:bCs/>
          <w:color w:val="auto"/>
          <w:kern w:val="0"/>
          <w:szCs w:val="21"/>
          <w:highlight w:val="none"/>
          <w:lang w:eastAsia="zh-CN"/>
        </w:rPr>
        <w:t>成交供应商</w:t>
      </w:r>
      <w:r>
        <w:rPr>
          <w:rFonts w:hint="eastAsia" w:ascii="宋体" w:hAnsi="宋体" w:eastAsia="宋体" w:cs="宋体"/>
          <w:bCs/>
          <w:color w:val="auto"/>
          <w:kern w:val="0"/>
          <w:szCs w:val="21"/>
          <w:highlight w:val="none"/>
        </w:rPr>
        <w:t>）</w:t>
      </w:r>
    </w:p>
    <w:p w14:paraId="5CA390FB">
      <w:pPr>
        <w:keepNext w:val="0"/>
        <w:keepLines w:val="0"/>
        <w:pageBreakBefore w:val="0"/>
        <w:widowControl w:val="0"/>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bookmarkStart w:id="45" w:name="_Toc32200"/>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0</w:t>
      </w:r>
      <w:r>
        <w:rPr>
          <w:rFonts w:hint="eastAsia" w:ascii="宋体" w:hAnsi="宋体" w:eastAsia="宋体" w:cs="宋体"/>
          <w:bCs/>
          <w:color w:val="auto"/>
          <w:kern w:val="0"/>
          <w:szCs w:val="21"/>
          <w:highlight w:val="none"/>
        </w:rPr>
        <w:t>.2.1</w:t>
      </w:r>
      <w:bookmarkEnd w:id="45"/>
      <w:r>
        <w:rPr>
          <w:rFonts w:hint="eastAsia" w:ascii="宋体" w:hAnsi="宋体" w:eastAsia="宋体" w:cs="宋体"/>
          <w:bCs/>
          <w:color w:val="auto"/>
          <w:kern w:val="0"/>
          <w:szCs w:val="21"/>
          <w:highlight w:val="none"/>
        </w:rPr>
        <w:t>本次评标采用</w:t>
      </w:r>
      <w:r>
        <w:rPr>
          <w:rFonts w:hint="eastAsia" w:ascii="宋体" w:hAnsi="宋体" w:eastAsia="宋体" w:cs="宋体"/>
          <w:color w:val="auto"/>
          <w:szCs w:val="21"/>
          <w:highlight w:val="none"/>
        </w:rPr>
        <w:t>综合评分法，是指响应文件满足采购文件全部实质性要求，且按照评审因素的量化指标评审得分最高的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为</w:t>
      </w:r>
      <w:r>
        <w:rPr>
          <w:rFonts w:hint="eastAsia" w:ascii="宋体" w:hAnsi="宋体" w:eastAsia="宋体" w:cs="宋体"/>
          <w:color w:val="auto"/>
          <w:szCs w:val="21"/>
          <w:highlight w:val="none"/>
          <w:lang w:eastAsia="zh-CN"/>
        </w:rPr>
        <w:t>成交</w:t>
      </w:r>
      <w:r>
        <w:rPr>
          <w:rFonts w:hint="eastAsia" w:ascii="宋体" w:hAnsi="宋体" w:eastAsia="宋体" w:cs="宋体"/>
          <w:color w:val="auto"/>
          <w:szCs w:val="21"/>
          <w:highlight w:val="none"/>
          <w:lang w:val="en-US" w:eastAsia="zh-CN"/>
        </w:rPr>
        <w:t>供应商</w:t>
      </w:r>
      <w:r>
        <w:rPr>
          <w:rFonts w:hint="eastAsia" w:ascii="宋体" w:hAnsi="宋体" w:eastAsia="宋体" w:cs="宋体"/>
          <w:color w:val="auto"/>
          <w:szCs w:val="21"/>
          <w:highlight w:val="none"/>
        </w:rPr>
        <w:t>的评标方法。</w:t>
      </w:r>
    </w:p>
    <w:p w14:paraId="7BA61DCE">
      <w:pPr>
        <w:keepNext w:val="0"/>
        <w:keepLines w:val="0"/>
        <w:pageBreakBefore w:val="0"/>
        <w:widowControl w:val="0"/>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采用综合评分法的，评标结果按评审后得分由高到低顺序排列。</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szCs w:val="21"/>
          <w:highlight w:val="none"/>
        </w:rPr>
        <w:t>满足</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文件全部实质性要求，且按照评审因素的量化指标评审得分最高的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为排名第一的</w:t>
      </w:r>
      <w:r>
        <w:rPr>
          <w:rFonts w:hint="eastAsia" w:ascii="宋体" w:hAnsi="宋体" w:eastAsia="宋体" w:cs="宋体"/>
          <w:color w:val="auto"/>
          <w:szCs w:val="21"/>
          <w:highlight w:val="none"/>
          <w:lang w:eastAsia="zh-CN"/>
        </w:rPr>
        <w:t>成交供应商</w:t>
      </w:r>
      <w:r>
        <w:rPr>
          <w:rFonts w:hint="eastAsia" w:ascii="宋体" w:hAnsi="宋体" w:eastAsia="宋体" w:cs="宋体"/>
          <w:color w:val="auto"/>
          <w:szCs w:val="21"/>
          <w:highlight w:val="none"/>
        </w:rPr>
        <w:t>，以此类推。得分相同的，按</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报价由低到高顺序排列。得分且</w:t>
      </w: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报价相同的，按技术部分得分顺序排列。得分与技术指标优劣均相同的，通过随机抽取产生。</w:t>
      </w:r>
    </w:p>
    <w:p w14:paraId="7AF870CF">
      <w:pPr>
        <w:keepNext w:val="0"/>
        <w:keepLines w:val="0"/>
        <w:pageBreakBefore w:val="0"/>
        <w:widowControl w:val="0"/>
        <w:kinsoku/>
        <w:wordWrap/>
        <w:overflowPunct/>
        <w:topLinePunct w:val="0"/>
        <w:bidi w:val="0"/>
        <w:snapToGrid w:val="0"/>
        <w:spacing w:line="360" w:lineRule="auto"/>
        <w:ind w:firstLine="422" w:firstLineChars="200"/>
        <w:rPr>
          <w:rFonts w:hint="eastAsia" w:ascii="宋体" w:hAnsi="宋体" w:eastAsia="宋体" w:cs="宋体"/>
          <w:color w:val="auto"/>
          <w:kern w:val="0"/>
          <w:szCs w:val="21"/>
          <w:highlight w:val="none"/>
          <w:lang w:eastAsia="zh-CN"/>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1</w:t>
      </w:r>
      <w:r>
        <w:rPr>
          <w:rFonts w:hint="eastAsia" w:ascii="宋体" w:hAnsi="宋体" w:eastAsia="宋体" w:cs="宋体"/>
          <w:b/>
          <w:bCs/>
          <w:color w:val="auto"/>
          <w:kern w:val="0"/>
          <w:szCs w:val="21"/>
          <w:highlight w:val="none"/>
        </w:rPr>
        <w:t>. 确定</w:t>
      </w:r>
      <w:r>
        <w:rPr>
          <w:rFonts w:hint="eastAsia" w:ascii="宋体" w:hAnsi="宋体" w:eastAsia="宋体" w:cs="宋体"/>
          <w:b/>
          <w:bCs/>
          <w:color w:val="auto"/>
          <w:kern w:val="0"/>
          <w:szCs w:val="21"/>
          <w:highlight w:val="none"/>
          <w:lang w:eastAsia="zh-CN"/>
        </w:rPr>
        <w:t>成交供应商</w:t>
      </w:r>
      <w:r>
        <w:rPr>
          <w:rFonts w:hint="eastAsia" w:ascii="宋体" w:hAnsi="宋体" w:eastAsia="宋体" w:cs="宋体"/>
          <w:b/>
          <w:bCs/>
          <w:color w:val="auto"/>
          <w:kern w:val="0"/>
          <w:szCs w:val="21"/>
          <w:highlight w:val="none"/>
        </w:rPr>
        <w:t>和</w:t>
      </w:r>
      <w:r>
        <w:rPr>
          <w:rFonts w:hint="eastAsia" w:ascii="宋体" w:hAnsi="宋体" w:eastAsia="宋体" w:cs="宋体"/>
          <w:b/>
          <w:bCs/>
          <w:color w:val="auto"/>
          <w:kern w:val="0"/>
          <w:szCs w:val="21"/>
          <w:highlight w:val="none"/>
          <w:lang w:eastAsia="zh-CN"/>
        </w:rPr>
        <w:t>成交候选供应商</w:t>
      </w:r>
    </w:p>
    <w:p w14:paraId="2278CA87">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bCs/>
          <w:color w:val="auto"/>
          <w:kern w:val="0"/>
          <w:szCs w:val="21"/>
          <w:highlight w:val="none"/>
        </w:rPr>
        <w:t>本项目由采购人授权</w:t>
      </w:r>
      <w:r>
        <w:rPr>
          <w:rFonts w:hint="eastAsia" w:ascii="宋体" w:hAnsi="宋体" w:eastAsia="宋体" w:cs="宋体"/>
          <w:bCs/>
          <w:color w:val="auto"/>
          <w:kern w:val="0"/>
          <w:szCs w:val="21"/>
          <w:highlight w:val="none"/>
          <w:lang w:eastAsia="zh-CN"/>
        </w:rPr>
        <w:t>磋商小组</w:t>
      </w:r>
      <w:r>
        <w:rPr>
          <w:rFonts w:hint="eastAsia" w:ascii="宋体" w:hAnsi="宋体" w:eastAsia="宋体" w:cs="宋体"/>
          <w:bCs/>
          <w:color w:val="auto"/>
          <w:kern w:val="0"/>
          <w:szCs w:val="21"/>
          <w:highlight w:val="none"/>
        </w:rPr>
        <w:t>确定一名</w:t>
      </w:r>
      <w:r>
        <w:rPr>
          <w:rFonts w:hint="eastAsia" w:ascii="宋体" w:hAnsi="宋体" w:eastAsia="宋体" w:cs="宋体"/>
          <w:bCs/>
          <w:color w:val="auto"/>
          <w:kern w:val="0"/>
          <w:szCs w:val="21"/>
          <w:highlight w:val="none"/>
          <w:lang w:eastAsia="zh-CN"/>
        </w:rPr>
        <w:t>成交供应商</w:t>
      </w:r>
      <w:r>
        <w:rPr>
          <w:rFonts w:hint="eastAsia" w:ascii="宋体" w:hAnsi="宋体" w:eastAsia="宋体" w:cs="宋体"/>
          <w:bCs/>
          <w:color w:val="auto"/>
          <w:kern w:val="0"/>
          <w:szCs w:val="21"/>
          <w:highlight w:val="none"/>
        </w:rPr>
        <w:t>并推荐</w:t>
      </w:r>
      <w:r>
        <w:rPr>
          <w:rFonts w:hint="eastAsia" w:ascii="宋体" w:hAnsi="宋体" w:cs="宋体"/>
          <w:bCs/>
          <w:color w:val="auto"/>
          <w:kern w:val="0"/>
          <w:szCs w:val="21"/>
          <w:highlight w:val="none"/>
          <w:lang w:val="en-US" w:eastAsia="zh-CN"/>
        </w:rPr>
        <w:t>一</w:t>
      </w:r>
      <w:r>
        <w:rPr>
          <w:rFonts w:hint="eastAsia" w:ascii="宋体" w:hAnsi="宋体" w:eastAsia="宋体" w:cs="宋体"/>
          <w:bCs/>
          <w:color w:val="auto"/>
          <w:kern w:val="0"/>
          <w:szCs w:val="21"/>
          <w:highlight w:val="none"/>
        </w:rPr>
        <w:t>名</w:t>
      </w:r>
      <w:r>
        <w:rPr>
          <w:rFonts w:hint="eastAsia" w:ascii="宋体" w:hAnsi="宋体" w:eastAsia="宋体" w:cs="宋体"/>
          <w:bCs/>
          <w:color w:val="auto"/>
          <w:kern w:val="0"/>
          <w:szCs w:val="21"/>
          <w:highlight w:val="none"/>
          <w:lang w:eastAsia="zh-CN"/>
        </w:rPr>
        <w:t>成交候选供应商</w:t>
      </w:r>
      <w:r>
        <w:rPr>
          <w:rFonts w:hint="eastAsia" w:ascii="宋体" w:hAnsi="宋体" w:eastAsia="宋体" w:cs="宋体"/>
          <w:color w:val="auto"/>
          <w:kern w:val="0"/>
          <w:szCs w:val="21"/>
          <w:highlight w:val="none"/>
        </w:rPr>
        <w:t>。</w:t>
      </w:r>
    </w:p>
    <w:p w14:paraId="610A72DB">
      <w:pPr>
        <w:keepNext w:val="0"/>
        <w:keepLines w:val="0"/>
        <w:pageBreakBefore w:val="0"/>
        <w:widowControl w:val="0"/>
        <w:kinsoku/>
        <w:wordWrap/>
        <w:overflowPunct/>
        <w:topLinePunct w:val="0"/>
        <w:bidi w:val="0"/>
        <w:snapToGrid w:val="0"/>
        <w:spacing w:line="360" w:lineRule="auto"/>
        <w:ind w:firstLine="422" w:firstLineChars="200"/>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2</w:t>
      </w:r>
      <w:r>
        <w:rPr>
          <w:rFonts w:hint="eastAsia" w:ascii="宋体" w:hAnsi="宋体" w:eastAsia="宋体" w:cs="宋体"/>
          <w:b/>
          <w:bCs/>
          <w:color w:val="auto"/>
          <w:kern w:val="0"/>
          <w:szCs w:val="21"/>
          <w:highlight w:val="none"/>
        </w:rPr>
        <w:t xml:space="preserve">. </w:t>
      </w:r>
      <w:r>
        <w:rPr>
          <w:rFonts w:hint="eastAsia" w:ascii="宋体" w:hAnsi="宋体" w:eastAsia="宋体" w:cs="宋体"/>
          <w:b/>
          <w:bCs/>
          <w:color w:val="auto"/>
          <w:kern w:val="0"/>
          <w:szCs w:val="21"/>
          <w:highlight w:val="none"/>
          <w:lang w:eastAsia="zh-CN"/>
        </w:rPr>
        <w:t>成交通知书</w:t>
      </w:r>
      <w:r>
        <w:rPr>
          <w:rFonts w:hint="eastAsia" w:ascii="宋体" w:hAnsi="宋体" w:eastAsia="宋体" w:cs="宋体"/>
          <w:b/>
          <w:bCs/>
          <w:color w:val="auto"/>
          <w:kern w:val="0"/>
          <w:szCs w:val="21"/>
          <w:highlight w:val="none"/>
        </w:rPr>
        <w:t>及</w:t>
      </w:r>
      <w:r>
        <w:rPr>
          <w:rFonts w:hint="eastAsia" w:ascii="宋体" w:hAnsi="宋体" w:cs="宋体"/>
          <w:b/>
          <w:bCs/>
          <w:color w:val="auto"/>
          <w:kern w:val="0"/>
          <w:szCs w:val="21"/>
          <w:highlight w:val="none"/>
          <w:lang w:eastAsia="zh-CN"/>
        </w:rPr>
        <w:t>成交</w:t>
      </w:r>
      <w:r>
        <w:rPr>
          <w:rFonts w:hint="eastAsia" w:ascii="宋体" w:hAnsi="宋体" w:cs="宋体"/>
          <w:b/>
          <w:bCs/>
          <w:color w:val="auto"/>
          <w:kern w:val="0"/>
          <w:szCs w:val="21"/>
          <w:highlight w:val="none"/>
          <w:lang w:val="en-US" w:eastAsia="zh-CN"/>
        </w:rPr>
        <w:t>结果</w:t>
      </w:r>
      <w:r>
        <w:rPr>
          <w:rFonts w:hint="eastAsia" w:ascii="宋体" w:hAnsi="宋体" w:eastAsia="宋体" w:cs="宋体"/>
          <w:b/>
          <w:bCs/>
          <w:color w:val="auto"/>
          <w:kern w:val="0"/>
          <w:szCs w:val="21"/>
          <w:highlight w:val="none"/>
        </w:rPr>
        <w:t>公告</w:t>
      </w:r>
    </w:p>
    <w:p w14:paraId="08AED65E">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.1评审结束后，</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人将</w:t>
      </w: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lang w:val="en-US" w:eastAsia="zh-CN"/>
        </w:rPr>
        <w:t>供应商</w:t>
      </w:r>
      <w:r>
        <w:rPr>
          <w:rFonts w:hint="eastAsia" w:ascii="宋体" w:hAnsi="宋体" w:eastAsia="宋体" w:cs="宋体"/>
          <w:color w:val="auto"/>
          <w:kern w:val="0"/>
          <w:szCs w:val="21"/>
          <w:highlight w:val="none"/>
        </w:rPr>
        <w:t>的情况在本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项目</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公告发布的同一媒介予以公示，公示</w:t>
      </w:r>
      <w:r>
        <w:rPr>
          <w:rFonts w:hint="eastAsia" w:ascii="宋体" w:hAnsi="宋体" w:eastAsia="宋体" w:cs="宋体"/>
          <w:color w:val="auto"/>
          <w:kern w:val="0"/>
          <w:szCs w:val="21"/>
          <w:highlight w:val="none"/>
          <w:lang w:eastAsia="zh-CN"/>
        </w:rPr>
        <w:t>期限</w:t>
      </w:r>
      <w:r>
        <w:rPr>
          <w:rFonts w:hint="eastAsia" w:ascii="宋体" w:hAnsi="宋体" w:eastAsia="宋体" w:cs="宋体"/>
          <w:color w:val="auto"/>
          <w:kern w:val="0"/>
          <w:szCs w:val="21"/>
          <w:highlight w:val="none"/>
          <w:lang w:val="en-US" w:eastAsia="zh-CN"/>
        </w:rPr>
        <w:t>3</w:t>
      </w:r>
      <w:r>
        <w:rPr>
          <w:rFonts w:hint="eastAsia" w:ascii="宋体" w:hAnsi="宋体" w:eastAsia="宋体" w:cs="宋体"/>
          <w:color w:val="auto"/>
          <w:kern w:val="0"/>
          <w:szCs w:val="21"/>
          <w:highlight w:val="none"/>
          <w:lang w:eastAsia="zh-CN"/>
        </w:rPr>
        <w:t>个工作日</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公示期结束后</w:t>
      </w:r>
      <w:r>
        <w:rPr>
          <w:rFonts w:hint="eastAsia" w:ascii="宋体" w:hAnsi="宋体" w:eastAsia="宋体" w:cs="宋体"/>
          <w:color w:val="auto"/>
          <w:kern w:val="0"/>
          <w:szCs w:val="21"/>
          <w:highlight w:val="none"/>
        </w:rPr>
        <w:t>向</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发出</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w:t>
      </w:r>
    </w:p>
    <w:p w14:paraId="40C07A2B">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.2</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在规定的时间内不领取</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的，视为</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后自动放弃</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资格；</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在有效报价中报价最低,非不可抗力放弃</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资格的。发生上述情况的承担由此引起的一切后果。</w:t>
      </w:r>
    </w:p>
    <w:p w14:paraId="5DBDF9B1">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对采购人和</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具有同等法律效力。</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发出后，采购人改变</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结果，或者</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放弃</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，应按相关法律、规章、规范性文件的要求承担相应的法律责任。</w:t>
      </w:r>
    </w:p>
    <w:p w14:paraId="0CDA854B">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2</w:t>
      </w:r>
      <w:r>
        <w:rPr>
          <w:rFonts w:hint="eastAsia" w:ascii="宋体" w:hAnsi="宋体" w:eastAsia="宋体" w:cs="宋体"/>
          <w:bCs/>
          <w:color w:val="auto"/>
          <w:kern w:val="0"/>
          <w:szCs w:val="21"/>
          <w:highlight w:val="none"/>
        </w:rPr>
        <w:t>.4</w:t>
      </w:r>
      <w:r>
        <w:rPr>
          <w:rFonts w:hint="eastAsia" w:ascii="宋体" w:hAnsi="宋体" w:eastAsia="宋体" w:cs="宋体"/>
          <w:bCs/>
          <w:color w:val="auto"/>
          <w:kern w:val="0"/>
          <w:szCs w:val="21"/>
          <w:highlight w:val="none"/>
          <w:lang w:eastAsia="zh-CN"/>
        </w:rPr>
        <w:t>成交通知书</w:t>
      </w:r>
      <w:r>
        <w:rPr>
          <w:rFonts w:hint="eastAsia" w:ascii="宋体" w:hAnsi="宋体" w:eastAsia="宋体" w:cs="宋体"/>
          <w:bCs/>
          <w:color w:val="auto"/>
          <w:kern w:val="0"/>
          <w:szCs w:val="21"/>
          <w:highlight w:val="none"/>
        </w:rPr>
        <w:t>将作为签订合同的依据。合同签订后，</w:t>
      </w:r>
      <w:r>
        <w:rPr>
          <w:rFonts w:hint="eastAsia" w:ascii="宋体" w:hAnsi="宋体" w:eastAsia="宋体" w:cs="宋体"/>
          <w:bCs/>
          <w:color w:val="auto"/>
          <w:kern w:val="0"/>
          <w:szCs w:val="21"/>
          <w:highlight w:val="none"/>
          <w:lang w:eastAsia="zh-CN"/>
        </w:rPr>
        <w:t>成交通知书</w:t>
      </w:r>
      <w:r>
        <w:rPr>
          <w:rFonts w:hint="eastAsia" w:ascii="宋体" w:hAnsi="宋体" w:eastAsia="宋体" w:cs="宋体"/>
          <w:bCs/>
          <w:color w:val="auto"/>
          <w:kern w:val="0"/>
          <w:szCs w:val="21"/>
          <w:highlight w:val="none"/>
        </w:rPr>
        <w:t>成为合同的一部分。</w:t>
      </w:r>
    </w:p>
    <w:p w14:paraId="13955CA9">
      <w:pPr>
        <w:keepNext w:val="0"/>
        <w:keepLines w:val="0"/>
        <w:pageBreakBefore w:val="0"/>
        <w:widowControl w:val="0"/>
        <w:kinsoku/>
        <w:wordWrap/>
        <w:overflowPunct/>
        <w:topLinePunct w:val="0"/>
        <w:bidi w:val="0"/>
        <w:snapToGrid w:val="0"/>
        <w:spacing w:line="360" w:lineRule="auto"/>
        <w:ind w:firstLine="422" w:firstLineChars="200"/>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3</w:t>
      </w:r>
      <w:r>
        <w:rPr>
          <w:rFonts w:hint="eastAsia" w:ascii="宋体" w:hAnsi="宋体" w:eastAsia="宋体" w:cs="宋体"/>
          <w:b/>
          <w:bCs/>
          <w:color w:val="auto"/>
          <w:kern w:val="0"/>
          <w:szCs w:val="21"/>
          <w:highlight w:val="none"/>
        </w:rPr>
        <w:t>. 采购人宣布废标的权利</w:t>
      </w:r>
    </w:p>
    <w:p w14:paraId="48D3DF2D">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.1出现下列情况之一时，采购人有权宣布废标，并将理由通知所有</w:t>
      </w:r>
      <w:r>
        <w:rPr>
          <w:rFonts w:hint="eastAsia" w:ascii="宋体" w:hAnsi="宋体" w:eastAsia="宋体" w:cs="宋体"/>
          <w:bCs/>
          <w:color w:val="auto"/>
          <w:kern w:val="0"/>
          <w:szCs w:val="21"/>
          <w:highlight w:val="none"/>
          <w:lang w:eastAsia="zh-CN"/>
        </w:rPr>
        <w:t>供应商</w:t>
      </w:r>
      <w:r>
        <w:rPr>
          <w:rFonts w:hint="eastAsia" w:ascii="宋体" w:hAnsi="宋体" w:eastAsia="宋体" w:cs="宋体"/>
          <w:bCs/>
          <w:color w:val="auto"/>
          <w:kern w:val="0"/>
          <w:szCs w:val="21"/>
          <w:highlight w:val="none"/>
        </w:rPr>
        <w:t>：</w:t>
      </w:r>
    </w:p>
    <w:p w14:paraId="607D00E0">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.1.1出现影响采购公正的违法、违规行为的。</w:t>
      </w:r>
    </w:p>
    <w:p w14:paraId="41CD420C">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.1.2</w:t>
      </w:r>
      <w:r>
        <w:rPr>
          <w:rFonts w:hint="eastAsia" w:ascii="宋体" w:hAnsi="宋体" w:eastAsia="宋体" w:cs="宋体"/>
          <w:bCs/>
          <w:color w:val="auto"/>
          <w:kern w:val="0"/>
          <w:szCs w:val="21"/>
          <w:highlight w:val="none"/>
          <w:lang w:eastAsia="zh-CN"/>
        </w:rPr>
        <w:t>供应商</w:t>
      </w:r>
      <w:r>
        <w:rPr>
          <w:rFonts w:hint="eastAsia" w:ascii="宋体" w:hAnsi="宋体" w:eastAsia="宋体" w:cs="宋体"/>
          <w:bCs/>
          <w:color w:val="auto"/>
          <w:kern w:val="0"/>
          <w:szCs w:val="21"/>
          <w:highlight w:val="none"/>
        </w:rPr>
        <w:t>的报价均超过了</w:t>
      </w:r>
      <w:r>
        <w:rPr>
          <w:rFonts w:hint="eastAsia" w:ascii="宋体" w:hAnsi="宋体" w:eastAsia="宋体" w:cs="宋体"/>
          <w:bCs/>
          <w:color w:val="auto"/>
          <w:kern w:val="0"/>
          <w:szCs w:val="21"/>
          <w:highlight w:val="none"/>
          <w:lang w:val="en-US" w:eastAsia="zh-CN"/>
        </w:rPr>
        <w:t>采购预算金额</w:t>
      </w:r>
      <w:r>
        <w:rPr>
          <w:rFonts w:hint="eastAsia" w:ascii="宋体" w:hAnsi="宋体" w:eastAsia="宋体" w:cs="宋体"/>
          <w:bCs/>
          <w:color w:val="auto"/>
          <w:kern w:val="0"/>
          <w:szCs w:val="21"/>
          <w:highlight w:val="none"/>
        </w:rPr>
        <w:t>，采购人不能支付的。</w:t>
      </w:r>
    </w:p>
    <w:p w14:paraId="505C44EE">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.1.3因重大变故，采购任务取消的。</w:t>
      </w:r>
    </w:p>
    <w:p w14:paraId="7BC6B729">
      <w:pPr>
        <w:keepNext w:val="0"/>
        <w:keepLines w:val="0"/>
        <w:pageBreakBefore w:val="0"/>
        <w:widowControl w:val="0"/>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bCs/>
          <w:color w:val="auto"/>
          <w:kern w:val="0"/>
          <w:szCs w:val="21"/>
          <w:highlight w:val="none"/>
        </w:rPr>
        <w:t>3</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color w:val="auto"/>
          <w:kern w:val="0"/>
          <w:szCs w:val="21"/>
          <w:highlight w:val="none"/>
        </w:rPr>
        <w:t xml:space="preserve">.2 </w:t>
      </w:r>
      <w:r>
        <w:rPr>
          <w:rFonts w:hint="eastAsia" w:ascii="宋体" w:hAnsi="宋体" w:eastAsia="宋体" w:cs="宋体"/>
          <w:color w:val="auto"/>
          <w:szCs w:val="21"/>
          <w:highlight w:val="none"/>
        </w:rPr>
        <w:t>投标截止后</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不足3家或通过资格性检查或符合性检查的</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不足3家的，除采购任务取消情形外，按照以下方式处理：</w:t>
      </w:r>
    </w:p>
    <w:p w14:paraId="7E364545">
      <w:pPr>
        <w:keepNext w:val="0"/>
        <w:keepLines w:val="0"/>
        <w:pageBreakBefore w:val="0"/>
        <w:widowControl w:val="0"/>
        <w:numPr>
          <w:ilvl w:val="0"/>
          <w:numId w:val="2"/>
        </w:numPr>
        <w:kinsoku/>
        <w:wordWrap/>
        <w:overflowPunct/>
        <w:topLinePunct w:val="0"/>
        <w:bidi w:val="0"/>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文件存在不合理条款或者招标程序不符合规定的，采购人正后依法重新招标；　</w:t>
      </w:r>
    </w:p>
    <w:p w14:paraId="2682B28F">
      <w:pPr>
        <w:keepNext w:val="0"/>
        <w:keepLines w:val="0"/>
        <w:pageBreakBefore w:val="0"/>
        <w:widowControl w:val="0"/>
        <w:kinsoku/>
        <w:wordWrap/>
        <w:overflowPunct/>
        <w:topLinePunct w:val="0"/>
        <w:bidi w:val="0"/>
        <w:snapToGrid w:val="0"/>
        <w:spacing w:line="360" w:lineRule="auto"/>
        <w:ind w:firstLine="420" w:firstLineChars="200"/>
        <w:rPr>
          <w:rFonts w:hint="eastAsia" w:ascii="宋体" w:hAnsi="宋体" w:eastAsia="宋体" w:cs="宋体"/>
          <w:b/>
          <w:color w:val="auto"/>
          <w:kern w:val="0"/>
          <w:sz w:val="52"/>
          <w:szCs w:val="52"/>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val="en-US" w:eastAsia="zh-CN"/>
        </w:rPr>
        <w:t>采购</w:t>
      </w:r>
      <w:r>
        <w:rPr>
          <w:rFonts w:hint="eastAsia" w:ascii="宋体" w:hAnsi="宋体" w:eastAsia="宋体" w:cs="宋体"/>
          <w:color w:val="auto"/>
          <w:szCs w:val="21"/>
          <w:highlight w:val="none"/>
        </w:rPr>
        <w:t>文件没有不合理条款、招标程序符合规定，需要采用其他采购方式采购的，采购人应当依法报财政部门批准。</w:t>
      </w:r>
    </w:p>
    <w:p w14:paraId="40C8FBDC">
      <w:pPr>
        <w:keepNext w:val="0"/>
        <w:keepLines w:val="0"/>
        <w:pageBreakBefore w:val="0"/>
        <w:widowControl w:val="0"/>
        <w:kinsoku/>
        <w:wordWrap/>
        <w:overflowPunct/>
        <w:topLinePunct w:val="0"/>
        <w:autoSpaceDE/>
        <w:autoSpaceDN/>
        <w:bidi w:val="0"/>
        <w:adjustRightInd/>
        <w:snapToGrid w:val="0"/>
        <w:spacing w:line="360" w:lineRule="auto"/>
        <w:ind w:firstLine="0"/>
        <w:jc w:val="center"/>
        <w:textAlignment w:val="auto"/>
        <w:outlineLvl w:val="1"/>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七</w:t>
      </w:r>
      <w:r>
        <w:rPr>
          <w:rFonts w:hint="eastAsia" w:ascii="宋体" w:hAnsi="宋体" w:eastAsia="宋体" w:cs="宋体"/>
          <w:b/>
          <w:bCs/>
          <w:color w:val="auto"/>
          <w:kern w:val="0"/>
          <w:sz w:val="28"/>
          <w:szCs w:val="28"/>
          <w:highlight w:val="none"/>
        </w:rPr>
        <w:t>、合同授予</w:t>
      </w:r>
    </w:p>
    <w:p w14:paraId="182A4EC1">
      <w:pPr>
        <w:keepNext w:val="0"/>
        <w:keepLines w:val="0"/>
        <w:pageBreakBefore w:val="0"/>
        <w:widowControl w:val="0"/>
        <w:kinsoku/>
        <w:wordWrap/>
        <w:overflowPunct/>
        <w:topLinePunct w:val="0"/>
        <w:bidi w:val="0"/>
        <w:snapToGrid w:val="0"/>
        <w:spacing w:line="360" w:lineRule="auto"/>
        <w:ind w:firstLine="472" w:firstLineChars="224"/>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3</w:t>
      </w:r>
      <w:r>
        <w:rPr>
          <w:rFonts w:hint="eastAsia" w:ascii="宋体" w:hAnsi="宋体" w:eastAsia="宋体" w:cs="宋体"/>
          <w:b/>
          <w:bCs/>
          <w:color w:val="auto"/>
          <w:kern w:val="0"/>
          <w:szCs w:val="21"/>
          <w:highlight w:val="none"/>
          <w:lang w:val="en-US" w:eastAsia="zh-CN"/>
        </w:rPr>
        <w:t>4</w:t>
      </w:r>
      <w:r>
        <w:rPr>
          <w:rFonts w:hint="eastAsia" w:ascii="宋体" w:hAnsi="宋体" w:eastAsia="宋体" w:cs="宋体"/>
          <w:b/>
          <w:bCs/>
          <w:color w:val="auto"/>
          <w:kern w:val="0"/>
          <w:szCs w:val="21"/>
          <w:highlight w:val="none"/>
        </w:rPr>
        <w:t>.合同签订</w:t>
      </w:r>
    </w:p>
    <w:p w14:paraId="01282E10">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u w:val="single"/>
        </w:rPr>
      </w:pPr>
      <w:bookmarkStart w:id="46" w:name="_Toc8594"/>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.1 采购人、</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自</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发出之日起，在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文件第三章《</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须知前附表》规定的时间内，根据</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文件确定的事项和</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签订合同。双方所签订的合同不得对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文件和</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作实质性修改。</w:t>
      </w:r>
    </w:p>
    <w:p w14:paraId="58608B84">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 xml:space="preserve">.2 </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文件的修改文件、</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的</w:t>
      </w:r>
      <w:r>
        <w:rPr>
          <w:rFonts w:hint="eastAsia" w:ascii="宋体" w:hAnsi="宋体" w:eastAsia="宋体" w:cs="宋体"/>
          <w:color w:val="auto"/>
          <w:sz w:val="21"/>
          <w:szCs w:val="21"/>
          <w:highlight w:val="none"/>
          <w:shd w:val="clear" w:color="auto" w:fill="FFFFFF"/>
          <w:lang w:val="en-US" w:eastAsia="zh-CN"/>
        </w:rPr>
        <w:t>响应文件</w:t>
      </w:r>
      <w:r>
        <w:rPr>
          <w:rFonts w:hint="eastAsia" w:ascii="宋体" w:hAnsi="宋体" w:eastAsia="宋体" w:cs="宋体"/>
          <w:color w:val="auto"/>
          <w:kern w:val="0"/>
          <w:szCs w:val="21"/>
          <w:highlight w:val="none"/>
        </w:rPr>
        <w:t>、补充或修改的文件及澄清或承诺文件等，均为双方签订合同的组成部分，并与合同一并作为本</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文件所列采购项目的互补性法律文件，与合同具有同等法律效力。</w:t>
      </w:r>
    </w:p>
    <w:p w14:paraId="5C559A68">
      <w:pPr>
        <w:keepNext w:val="0"/>
        <w:keepLines w:val="0"/>
        <w:pageBreakBefore w:val="0"/>
        <w:widowControl w:val="0"/>
        <w:kinsoku/>
        <w:wordWrap/>
        <w:overflowPunct/>
        <w:topLinePunct w:val="0"/>
        <w:bidi w:val="0"/>
        <w:snapToGrid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val="en-US" w:eastAsia="zh-CN"/>
        </w:rPr>
        <w:t>4</w:t>
      </w:r>
      <w:r>
        <w:rPr>
          <w:rFonts w:hint="eastAsia" w:ascii="宋体" w:hAnsi="宋体" w:eastAsia="宋体" w:cs="宋体"/>
          <w:color w:val="auto"/>
          <w:kern w:val="0"/>
          <w:szCs w:val="21"/>
          <w:highlight w:val="none"/>
        </w:rPr>
        <w:t xml:space="preserve">.3 </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放弃</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、因不可抗力不能履行合同、不按照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文件要求提交履约保证金，或者被查实存在影响</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结果的违法行为等情形，不符合</w:t>
      </w:r>
      <w:r>
        <w:rPr>
          <w:rFonts w:hint="eastAsia" w:ascii="宋体" w:hAnsi="宋体" w:cs="宋体"/>
          <w:color w:val="auto"/>
          <w:kern w:val="0"/>
          <w:szCs w:val="21"/>
          <w:highlight w:val="none"/>
          <w:lang w:eastAsia="zh-CN"/>
        </w:rPr>
        <w:t>成交</w:t>
      </w:r>
      <w:r>
        <w:rPr>
          <w:rFonts w:hint="eastAsia" w:ascii="宋体" w:hAnsi="宋体" w:eastAsia="宋体" w:cs="宋体"/>
          <w:color w:val="auto"/>
          <w:kern w:val="0"/>
          <w:szCs w:val="21"/>
          <w:highlight w:val="none"/>
        </w:rPr>
        <w:t>条件的，采购人可以按照</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提出的</w:t>
      </w:r>
      <w:r>
        <w:rPr>
          <w:rFonts w:hint="eastAsia" w:ascii="宋体" w:hAnsi="宋体" w:eastAsia="宋体" w:cs="宋体"/>
          <w:color w:val="auto"/>
          <w:kern w:val="0"/>
          <w:szCs w:val="21"/>
          <w:highlight w:val="none"/>
          <w:lang w:eastAsia="zh-CN"/>
        </w:rPr>
        <w:t>成交候选供应商</w:t>
      </w:r>
      <w:r>
        <w:rPr>
          <w:rFonts w:hint="eastAsia" w:ascii="宋体" w:hAnsi="宋体" w:eastAsia="宋体" w:cs="宋体"/>
          <w:color w:val="auto"/>
          <w:kern w:val="0"/>
          <w:szCs w:val="21"/>
          <w:highlight w:val="none"/>
        </w:rPr>
        <w:t>名单排序依次确定其他</w:t>
      </w:r>
      <w:r>
        <w:rPr>
          <w:rFonts w:hint="eastAsia" w:ascii="宋体" w:hAnsi="宋体" w:eastAsia="宋体" w:cs="宋体"/>
          <w:color w:val="auto"/>
          <w:kern w:val="0"/>
          <w:szCs w:val="21"/>
          <w:highlight w:val="none"/>
          <w:lang w:eastAsia="zh-CN"/>
        </w:rPr>
        <w:t>成交候选供应商</w:t>
      </w:r>
      <w:r>
        <w:rPr>
          <w:rFonts w:hint="eastAsia" w:ascii="宋体" w:hAnsi="宋体" w:eastAsia="宋体" w:cs="宋体"/>
          <w:color w:val="auto"/>
          <w:kern w:val="0"/>
          <w:szCs w:val="21"/>
          <w:highlight w:val="none"/>
        </w:rPr>
        <w:t>为</w:t>
      </w:r>
      <w:r>
        <w:rPr>
          <w:rFonts w:hint="eastAsia" w:ascii="宋体" w:hAnsi="宋体" w:eastAsia="宋体" w:cs="宋体"/>
          <w:color w:val="auto"/>
          <w:kern w:val="0"/>
          <w:szCs w:val="21"/>
          <w:highlight w:val="none"/>
          <w:lang w:eastAsia="zh-CN"/>
        </w:rPr>
        <w:t>成交供应商</w:t>
      </w:r>
      <w:r>
        <w:rPr>
          <w:rFonts w:hint="eastAsia" w:ascii="宋体" w:hAnsi="宋体" w:eastAsia="宋体" w:cs="宋体"/>
          <w:color w:val="auto"/>
          <w:kern w:val="0"/>
          <w:szCs w:val="21"/>
          <w:highlight w:val="none"/>
        </w:rPr>
        <w:t>，也可以重新招标。</w:t>
      </w:r>
    </w:p>
    <w:bookmarkEnd w:id="46"/>
    <w:p w14:paraId="5EC13C81">
      <w:pPr>
        <w:keepNext w:val="0"/>
        <w:pageBreakBefore w:val="0"/>
        <w:widowControl w:val="0"/>
        <w:overflowPunct/>
        <w:topLinePunct w:val="0"/>
        <w:bidi w:val="0"/>
        <w:rPr>
          <w:rFonts w:hint="eastAsia" w:ascii="宋体" w:hAnsi="宋体" w:eastAsia="宋体" w:cs="宋体"/>
          <w:color w:val="auto"/>
          <w:highlight w:val="none"/>
        </w:rPr>
      </w:pPr>
      <w:bookmarkStart w:id="47" w:name="_Toc4700"/>
      <w:bookmarkStart w:id="48" w:name="_Toc16669"/>
      <w:r>
        <w:rPr>
          <w:rFonts w:hint="eastAsia" w:ascii="宋体" w:hAnsi="宋体" w:eastAsia="宋体" w:cs="宋体"/>
          <w:color w:val="auto"/>
          <w:highlight w:val="none"/>
        </w:rPr>
        <w:br w:type="page"/>
      </w:r>
    </w:p>
    <w:p w14:paraId="305D3E7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0"/>
        <w:rPr>
          <w:rFonts w:hint="eastAsia" w:ascii="宋体" w:hAnsi="宋体" w:eastAsia="宋体" w:cs="宋体"/>
          <w:color w:val="auto"/>
          <w:kern w:val="0"/>
          <w:sz w:val="24"/>
          <w:highlight w:val="none"/>
        </w:rPr>
      </w:pPr>
      <w:bookmarkStart w:id="49" w:name="_Toc31399"/>
      <w:r>
        <w:rPr>
          <w:rFonts w:hint="eastAsia" w:ascii="宋体" w:hAnsi="宋体" w:eastAsia="宋体" w:cs="宋体"/>
          <w:b/>
          <w:bCs/>
          <w:color w:val="auto"/>
          <w:kern w:val="0"/>
          <w:sz w:val="32"/>
          <w:szCs w:val="32"/>
          <w:highlight w:val="none"/>
        </w:rPr>
        <w:t>第四章  评标办法及评分标准</w:t>
      </w:r>
      <w:bookmarkEnd w:id="47"/>
      <w:bookmarkEnd w:id="49"/>
    </w:p>
    <w:p w14:paraId="6F4C4186">
      <w:pPr>
        <w:keepNext w:val="0"/>
        <w:pageBreakBefore w:val="0"/>
        <w:widowControl w:val="0"/>
        <w:overflowPunct/>
        <w:topLinePunct w:val="0"/>
        <w:bidi w:val="0"/>
        <w:rPr>
          <w:rFonts w:hint="eastAsia" w:ascii="宋体" w:hAnsi="宋体" w:eastAsia="宋体" w:cs="宋体"/>
          <w:color w:val="auto"/>
          <w:highlight w:val="none"/>
        </w:rPr>
      </w:pPr>
    </w:p>
    <w:p w14:paraId="5FA8D29B">
      <w:pPr>
        <w:keepNext w:val="0"/>
        <w:keepLines w:val="0"/>
        <w:pageBreakBefore w:val="0"/>
        <w:widowControl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14:paraId="5A6B0AB5">
      <w:pPr>
        <w:keepNext w:val="0"/>
        <w:keepLines w:val="0"/>
        <w:pageBreakBefore w:val="0"/>
        <w:widowControl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w:t>
      </w:r>
      <w:r>
        <w:rPr>
          <w:rFonts w:hint="eastAsia" w:ascii="宋体" w:hAnsi="宋体" w:eastAsia="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按照</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14:paraId="2CA30BDB">
      <w:pPr>
        <w:keepNext w:val="0"/>
        <w:keepLines w:val="0"/>
        <w:pageBreakBefore w:val="0"/>
        <w:widowControl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14:paraId="5807D4BC">
      <w:pPr>
        <w:keepNext w:val="0"/>
        <w:keepLines w:val="0"/>
        <w:pageBreakBefore w:val="0"/>
        <w:widowControl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14:paraId="3CDF010F">
      <w:pPr>
        <w:keepNext w:val="0"/>
        <w:keepLines w:val="0"/>
        <w:pageBreakBefore w:val="0"/>
        <w:widowControl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w:t>
      </w:r>
      <w:r>
        <w:rPr>
          <w:rFonts w:hint="eastAsia" w:ascii="宋体" w:hAnsi="宋体" w:eastAsia="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按照</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b w:val="0"/>
          <w:bCs w:val="0"/>
          <w:color w:val="auto"/>
          <w:sz w:val="21"/>
          <w:szCs w:val="21"/>
          <w:highlight w:val="none"/>
        </w:rPr>
        <w:t>文件进行综合比较与评价。</w:t>
      </w:r>
    </w:p>
    <w:p w14:paraId="4CECA875">
      <w:pPr>
        <w:keepNext w:val="0"/>
        <w:keepLines w:val="0"/>
        <w:pageBreakBefore w:val="0"/>
        <w:widowControl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eastAsia="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14:paraId="1E8C2FFB">
      <w:pPr>
        <w:keepNext w:val="0"/>
        <w:keepLines w:val="0"/>
        <w:pageBreakBefore w:val="0"/>
        <w:widowControl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b w:val="0"/>
          <w:bCs w:val="0"/>
          <w:color w:val="auto"/>
          <w:sz w:val="21"/>
          <w:szCs w:val="21"/>
          <w:highlight w:val="none"/>
        </w:rPr>
        <w:t>文件满足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w:t>
      </w:r>
      <w:r>
        <w:rPr>
          <w:rFonts w:hint="eastAsia" w:ascii="宋体" w:hAnsi="宋体" w:eastAsia="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为</w:t>
      </w:r>
      <w:r>
        <w:rPr>
          <w:rFonts w:hint="eastAsia" w:ascii="宋体" w:hAnsi="宋体" w:eastAsia="宋体" w:cs="宋体"/>
          <w:b w:val="0"/>
          <w:bCs w:val="0"/>
          <w:color w:val="auto"/>
          <w:sz w:val="21"/>
          <w:szCs w:val="21"/>
          <w:highlight w:val="none"/>
          <w:lang w:eastAsia="zh-CN"/>
        </w:rPr>
        <w:t>成交供应商</w:t>
      </w:r>
      <w:r>
        <w:rPr>
          <w:rFonts w:hint="eastAsia" w:ascii="宋体" w:hAnsi="宋体" w:eastAsia="宋体" w:cs="宋体"/>
          <w:b w:val="0"/>
          <w:bCs w:val="0"/>
          <w:color w:val="auto"/>
          <w:sz w:val="21"/>
          <w:szCs w:val="21"/>
          <w:highlight w:val="none"/>
        </w:rPr>
        <w:t>。</w:t>
      </w:r>
    </w:p>
    <w:p w14:paraId="328CEB9D">
      <w:pPr>
        <w:keepNext w:val="0"/>
        <w:keepLines w:val="0"/>
        <w:pageBreakBefore w:val="0"/>
        <w:widowControl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14:paraId="7CCCB1DD">
      <w:pPr>
        <w:keepNext w:val="0"/>
        <w:keepLines w:val="0"/>
        <w:pageBreakBefore w:val="0"/>
        <w:widowControl w:val="0"/>
        <w:numPr>
          <w:ilvl w:val="0"/>
          <w:numId w:val="0"/>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14:paraId="0E778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14:paraId="3510C47F">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14:paraId="7A071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14:paraId="6AF72CDA">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w:t>
            </w:r>
            <w:r>
              <w:rPr>
                <w:rFonts w:hint="eastAsia" w:ascii="宋体" w:hAnsi="宋体" w:eastAsia="宋体" w:cs="宋体"/>
                <w:b w:val="0"/>
                <w:bCs w:val="0"/>
                <w:color w:val="auto"/>
                <w:sz w:val="21"/>
                <w:szCs w:val="21"/>
                <w:highlight w:val="none"/>
                <w:lang w:val="en-US" w:eastAsia="zh-CN"/>
              </w:rPr>
              <w:t>30</w:t>
            </w:r>
            <w:r>
              <w:rPr>
                <w:rFonts w:hint="eastAsia" w:ascii="宋体" w:hAnsi="宋体" w:eastAsia="宋体" w:cs="宋体"/>
                <w:b w:val="0"/>
                <w:bCs w:val="0"/>
                <w:color w:val="auto"/>
                <w:sz w:val="21"/>
                <w:szCs w:val="21"/>
                <w:highlight w:val="none"/>
              </w:rPr>
              <w:t>分)</w:t>
            </w:r>
          </w:p>
        </w:tc>
        <w:tc>
          <w:tcPr>
            <w:tcW w:w="8243" w:type="dxa"/>
            <w:gridSpan w:val="2"/>
            <w:noWrap w:val="0"/>
            <w:vAlign w:val="center"/>
          </w:tcPr>
          <w:p w14:paraId="22E74AA4">
            <w:pPr>
              <w:pStyle w:val="48"/>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发现</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的投标报价明显低于其他投标报价，使其投标报价可能低于其个别成本的，</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可对其质询，并要求该</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做出书面说明和提供相关的证明材料；该</w:t>
            </w:r>
            <w:r>
              <w:rPr>
                <w:rFonts w:hint="eastAsia" w:ascii="宋体" w:hAnsi="宋体" w:eastAsia="宋体" w:cs="宋体"/>
                <w:b w:val="0"/>
                <w:bCs w:val="0"/>
                <w:color w:val="auto"/>
                <w:sz w:val="21"/>
                <w:szCs w:val="21"/>
                <w:highlight w:val="none"/>
                <w:u w:val="none"/>
                <w:lang w:eastAsia="zh-CN"/>
              </w:rPr>
              <w:t>供应商</w:t>
            </w:r>
            <w:r>
              <w:rPr>
                <w:rFonts w:hint="eastAsia" w:ascii="宋体" w:hAnsi="宋体" w:eastAsia="宋体" w:cs="宋体"/>
                <w:b w:val="0"/>
                <w:bCs w:val="0"/>
                <w:color w:val="auto"/>
                <w:sz w:val="21"/>
                <w:szCs w:val="21"/>
                <w:highlight w:val="none"/>
                <w:u w:val="none"/>
              </w:rPr>
              <w:t>不能合理说明或提供证明材料的，</w:t>
            </w:r>
            <w:r>
              <w:rPr>
                <w:rFonts w:hint="eastAsia" w:ascii="宋体" w:hAnsi="宋体" w:eastAsia="宋体" w:cs="宋体"/>
                <w:b w:val="0"/>
                <w:bCs w:val="0"/>
                <w:color w:val="auto"/>
                <w:sz w:val="21"/>
                <w:szCs w:val="21"/>
                <w:highlight w:val="none"/>
                <w:u w:val="none"/>
                <w:lang w:eastAsia="zh-CN"/>
              </w:rPr>
              <w:t>磋商小组</w:t>
            </w:r>
            <w:r>
              <w:rPr>
                <w:rFonts w:hint="eastAsia" w:ascii="宋体" w:hAnsi="宋体" w:eastAsia="宋体" w:cs="宋体"/>
                <w:b w:val="0"/>
                <w:bCs w:val="0"/>
                <w:color w:val="auto"/>
                <w:sz w:val="21"/>
                <w:szCs w:val="21"/>
                <w:highlight w:val="none"/>
                <w:u w:val="none"/>
              </w:rPr>
              <w:t>应按无效投标处理。</w:t>
            </w:r>
          </w:p>
          <w:p w14:paraId="26B8063D">
            <w:pPr>
              <w:pStyle w:val="48"/>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14:paraId="02200D03">
            <w:pPr>
              <w:pStyle w:val="48"/>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14:paraId="1BC33DF7">
            <w:pPr>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rPr>
              <w:t>投标报价得分=（评标基准价/有效投标报价）×</w:t>
            </w:r>
            <w:r>
              <w:rPr>
                <w:rFonts w:hint="eastAsia" w:ascii="宋体" w:hAnsi="宋体" w:eastAsia="宋体" w:cs="宋体"/>
                <w:b w:val="0"/>
                <w:bCs w:val="0"/>
                <w:color w:val="auto"/>
                <w:sz w:val="21"/>
                <w:szCs w:val="21"/>
                <w:highlight w:val="none"/>
                <w:lang w:val="en-US" w:eastAsia="zh-CN"/>
              </w:rPr>
              <w:t>30</w:t>
            </w:r>
            <w:r>
              <w:rPr>
                <w:rFonts w:hint="eastAsia" w:ascii="宋体" w:hAnsi="宋体" w:eastAsia="宋体" w:cs="宋体"/>
                <w:b w:val="0"/>
                <w:bCs w:val="0"/>
                <w:color w:val="auto"/>
                <w:sz w:val="21"/>
                <w:szCs w:val="21"/>
                <w:highlight w:val="none"/>
              </w:rPr>
              <w:t>分</w:t>
            </w:r>
          </w:p>
        </w:tc>
      </w:tr>
      <w:tr w14:paraId="2BB6C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14:paraId="7D8C8E6B">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技术部分（</w:t>
            </w:r>
            <w:r>
              <w:rPr>
                <w:rFonts w:hint="eastAsia" w:ascii="宋体" w:hAnsi="宋体" w:eastAsia="宋体" w:cs="宋体"/>
                <w:b w:val="0"/>
                <w:bCs w:val="0"/>
                <w:color w:val="auto"/>
                <w:sz w:val="21"/>
                <w:szCs w:val="21"/>
                <w:highlight w:val="none"/>
                <w:lang w:val="en-US" w:eastAsia="zh-CN"/>
              </w:rPr>
              <w:t>50</w:t>
            </w:r>
            <w:r>
              <w:rPr>
                <w:rFonts w:hint="eastAsia" w:ascii="宋体" w:hAnsi="宋体" w:eastAsia="宋体" w:cs="宋体"/>
                <w:b w:val="0"/>
                <w:bCs w:val="0"/>
                <w:color w:val="auto"/>
                <w:sz w:val="21"/>
                <w:szCs w:val="21"/>
                <w:highlight w:val="none"/>
                <w:lang w:eastAsia="zh-CN"/>
              </w:rPr>
              <w:t>分）</w:t>
            </w:r>
          </w:p>
        </w:tc>
        <w:tc>
          <w:tcPr>
            <w:tcW w:w="1473" w:type="dxa"/>
            <w:noWrap w:val="0"/>
            <w:vAlign w:val="center"/>
          </w:tcPr>
          <w:p w14:paraId="259460C1">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1.产品技术参数（</w:t>
            </w:r>
            <w:r>
              <w:rPr>
                <w:rFonts w:hint="eastAsia" w:ascii="宋体" w:hAnsi="宋体" w:cs="宋体"/>
                <w:b w:val="0"/>
                <w:bCs w:val="0"/>
                <w:color w:val="auto"/>
                <w:sz w:val="21"/>
                <w:szCs w:val="21"/>
                <w:highlight w:val="none"/>
                <w:lang w:val="en-US" w:eastAsia="zh-CN"/>
              </w:rPr>
              <w:t>30</w:t>
            </w:r>
            <w:r>
              <w:rPr>
                <w:rFonts w:hint="eastAsia" w:ascii="宋体" w:hAnsi="宋体" w:eastAsia="宋体" w:cs="宋体"/>
                <w:b w:val="0"/>
                <w:bCs w:val="0"/>
                <w:color w:val="auto"/>
                <w:sz w:val="21"/>
                <w:szCs w:val="21"/>
                <w:highlight w:val="none"/>
                <w:lang w:val="en-US" w:eastAsia="zh-CN"/>
              </w:rPr>
              <w:t>分）</w:t>
            </w:r>
          </w:p>
        </w:tc>
        <w:tc>
          <w:tcPr>
            <w:tcW w:w="6770" w:type="dxa"/>
            <w:noWrap w:val="0"/>
            <w:vAlign w:val="center"/>
          </w:tcPr>
          <w:p w14:paraId="66A9AA33">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供应商</w:t>
            </w:r>
            <w:r>
              <w:rPr>
                <w:rFonts w:hint="eastAsia" w:ascii="宋体" w:hAnsi="宋体" w:eastAsia="宋体" w:cs="宋体"/>
                <w:b w:val="0"/>
                <w:bCs w:val="0"/>
                <w:color w:val="auto"/>
                <w:sz w:val="21"/>
                <w:szCs w:val="21"/>
                <w:highlight w:val="none"/>
              </w:rPr>
              <w:t>对“第二章  采购需求</w:t>
            </w:r>
            <w:r>
              <w:rPr>
                <w:rFonts w:hint="eastAsia" w:ascii="宋体" w:hAnsi="宋体" w:eastAsia="宋体" w:cs="宋体"/>
                <w:b w:val="0"/>
                <w:bCs w:val="0"/>
                <w:color w:val="auto"/>
                <w:sz w:val="21"/>
                <w:szCs w:val="21"/>
                <w:highlight w:val="none"/>
                <w:lang w:val="en-US" w:eastAsia="zh-CN"/>
              </w:rPr>
              <w:t xml:space="preserve"> </w:t>
            </w:r>
            <w:r>
              <w:rPr>
                <w:rFonts w:hint="eastAsia" w:ascii="宋体" w:hAnsi="宋体" w:eastAsia="宋体" w:cs="宋体"/>
                <w:b w:val="0"/>
                <w:bCs w:val="0"/>
                <w:color w:val="auto"/>
                <w:kern w:val="2"/>
                <w:sz w:val="21"/>
                <w:szCs w:val="24"/>
                <w:highlight w:val="none"/>
                <w:lang w:val="en-US" w:eastAsia="zh-CN" w:bidi="ar-SA"/>
              </w:rPr>
              <w:t>三、技术要求</w:t>
            </w:r>
            <w:r>
              <w:rPr>
                <w:rFonts w:hint="eastAsia" w:ascii="宋体" w:hAnsi="宋体" w:eastAsia="宋体" w:cs="宋体"/>
                <w:b w:val="0"/>
                <w:bCs w:val="0"/>
                <w:color w:val="auto"/>
                <w:sz w:val="21"/>
                <w:szCs w:val="21"/>
                <w:highlight w:val="none"/>
              </w:rPr>
              <w:t>”技术参数、性能及产品功能等的响应，所投</w:t>
            </w:r>
            <w:r>
              <w:rPr>
                <w:rFonts w:hint="eastAsia" w:ascii="宋体" w:hAnsi="宋体" w:eastAsia="宋体" w:cs="宋体"/>
                <w:b w:val="0"/>
                <w:bCs w:val="0"/>
                <w:color w:val="auto"/>
                <w:sz w:val="21"/>
                <w:szCs w:val="21"/>
                <w:highlight w:val="none"/>
                <w:lang w:val="en-US" w:eastAsia="zh-CN"/>
              </w:rPr>
              <w:t>产品</w:t>
            </w:r>
            <w:r>
              <w:rPr>
                <w:rFonts w:hint="eastAsia" w:ascii="宋体" w:hAnsi="宋体" w:eastAsia="宋体" w:cs="宋体"/>
                <w:b w:val="0"/>
                <w:bCs w:val="0"/>
                <w:color w:val="auto"/>
                <w:sz w:val="21"/>
                <w:szCs w:val="21"/>
                <w:highlight w:val="none"/>
              </w:rPr>
              <w:t>全部满足磋商文件要求得</w:t>
            </w:r>
            <w:r>
              <w:rPr>
                <w:rFonts w:hint="eastAsia" w:ascii="宋体" w:hAnsi="宋体" w:cs="宋体"/>
                <w:b w:val="0"/>
                <w:bCs w:val="0"/>
                <w:color w:val="auto"/>
                <w:sz w:val="21"/>
                <w:szCs w:val="21"/>
                <w:highlight w:val="none"/>
                <w:lang w:val="en-US" w:eastAsia="zh-CN"/>
              </w:rPr>
              <w:t>30</w:t>
            </w:r>
            <w:r>
              <w:rPr>
                <w:rFonts w:hint="eastAsia" w:ascii="宋体" w:hAnsi="宋体" w:eastAsia="宋体" w:cs="宋体"/>
                <w:b w:val="0"/>
                <w:bCs w:val="0"/>
                <w:color w:val="auto"/>
                <w:sz w:val="21"/>
                <w:szCs w:val="21"/>
                <w:highlight w:val="none"/>
              </w:rPr>
              <w:t>分，一项不满足扣</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分</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如得分为0，则投标无效。</w:t>
            </w:r>
          </w:p>
          <w:p w14:paraId="3C6ACB06">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1）供应商需提供参数偏离表，并标注偏离情况。</w:t>
            </w:r>
          </w:p>
          <w:p w14:paraId="420CDD8C">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2）提供相关证明文件，并对响应技术参数部分做出明显标注。</w:t>
            </w:r>
          </w:p>
        </w:tc>
      </w:tr>
      <w:tr w14:paraId="3B207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74316A97">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noWrap w:val="0"/>
            <w:vAlign w:val="center"/>
          </w:tcPr>
          <w:p w14:paraId="64F86577">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2.产品综合性能</w:t>
            </w:r>
          </w:p>
          <w:p w14:paraId="76750C99">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w:t>
            </w:r>
            <w:r>
              <w:rPr>
                <w:rFonts w:hint="eastAsia" w:ascii="宋体" w:hAnsi="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lang w:val="en-US" w:eastAsia="zh-CN"/>
              </w:rPr>
              <w:t>分）</w:t>
            </w:r>
          </w:p>
        </w:tc>
        <w:tc>
          <w:tcPr>
            <w:tcW w:w="6770" w:type="dxa"/>
            <w:noWrap w:val="0"/>
            <w:vAlign w:val="center"/>
          </w:tcPr>
          <w:p w14:paraId="4878F1E2">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评委根据供应商</w:t>
            </w:r>
            <w:r>
              <w:rPr>
                <w:rFonts w:hint="eastAsia" w:ascii="宋体" w:hAnsi="宋体" w:eastAsia="宋体" w:cs="宋体"/>
                <w:b w:val="0"/>
                <w:bCs w:val="0"/>
                <w:color w:val="auto"/>
                <w:sz w:val="21"/>
                <w:szCs w:val="21"/>
                <w:highlight w:val="none"/>
                <w:lang w:val="en-US" w:eastAsia="zh-CN"/>
              </w:rPr>
              <w:t>响应产品的制造工艺、稳定性、产品操作性、性能及技术先进性等进行打分。</w:t>
            </w:r>
          </w:p>
          <w:p w14:paraId="0E9498EF">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响应产品制造工艺、稳定性好、操作性强、技术先进的得</w:t>
            </w:r>
            <w:r>
              <w:rPr>
                <w:rFonts w:hint="eastAsia" w:ascii="宋体" w:hAnsi="宋体" w:cs="宋体"/>
                <w:b w:val="0"/>
                <w:bCs w:val="0"/>
                <w:color w:val="auto"/>
                <w:sz w:val="21"/>
                <w:szCs w:val="21"/>
                <w:highlight w:val="none"/>
                <w:lang w:val="en-US" w:eastAsia="zh-CN"/>
              </w:rPr>
              <w:t>8</w:t>
            </w:r>
            <w:r>
              <w:rPr>
                <w:rFonts w:hint="eastAsia" w:ascii="宋体" w:hAnsi="宋体" w:eastAsia="宋体" w:cs="宋体"/>
                <w:b w:val="0"/>
                <w:bCs w:val="0"/>
                <w:color w:val="auto"/>
                <w:sz w:val="21"/>
                <w:szCs w:val="21"/>
                <w:highlight w:val="none"/>
                <w:lang w:val="en-US" w:eastAsia="zh-CN"/>
              </w:rPr>
              <w:t>分；</w:t>
            </w:r>
          </w:p>
          <w:p w14:paraId="7F15740F">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highlight w:val="none"/>
                <w:lang w:val="en-US" w:eastAsia="zh-CN"/>
              </w:rPr>
            </w:pPr>
            <w:r>
              <w:rPr>
                <w:rFonts w:hint="eastAsia" w:ascii="宋体" w:hAnsi="宋体" w:eastAsia="宋体" w:cs="宋体"/>
                <w:b w:val="0"/>
                <w:bCs w:val="0"/>
                <w:color w:val="auto"/>
                <w:sz w:val="21"/>
                <w:szCs w:val="21"/>
                <w:highlight w:val="none"/>
                <w:lang w:val="en-US" w:eastAsia="zh-CN"/>
              </w:rPr>
              <w:t>响应产品制造工艺、稳定性较好、操作性较强、技术较先进的得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分；响应产品制造工艺、稳定性一般、操作性一般、技术较保守的得</w:t>
            </w:r>
            <w:r>
              <w:rPr>
                <w:rFonts w:hint="eastAsia" w:ascii="宋体" w:hAnsi="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lang w:val="en-US" w:eastAsia="zh-CN"/>
              </w:rPr>
              <w:t>分；未提供者不得分。</w:t>
            </w:r>
          </w:p>
        </w:tc>
      </w:tr>
      <w:tr w14:paraId="74AAB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239" w:type="dxa"/>
            <w:vMerge w:val="continue"/>
            <w:noWrap w:val="0"/>
            <w:vAlign w:val="center"/>
          </w:tcPr>
          <w:p w14:paraId="0CF3B0C7">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restart"/>
            <w:noWrap w:val="0"/>
            <w:vAlign w:val="center"/>
          </w:tcPr>
          <w:p w14:paraId="1450AB6F">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3.服务方案（1</w:t>
            </w:r>
            <w:r>
              <w:rPr>
                <w:rFonts w:hint="eastAsia" w:ascii="宋体" w:hAnsi="宋体" w:cs="宋体"/>
                <w:b w:val="0"/>
                <w:bCs w:val="0"/>
                <w:color w:val="auto"/>
                <w:kern w:val="0"/>
                <w:sz w:val="21"/>
                <w:szCs w:val="21"/>
                <w:highlight w:val="none"/>
                <w:lang w:val="en-US" w:eastAsia="zh-CN"/>
              </w:rPr>
              <w:t>2</w:t>
            </w:r>
            <w:r>
              <w:rPr>
                <w:rFonts w:hint="eastAsia" w:ascii="宋体" w:hAnsi="宋体" w:eastAsia="宋体" w:cs="宋体"/>
                <w:b w:val="0"/>
                <w:bCs w:val="0"/>
                <w:color w:val="auto"/>
                <w:kern w:val="0"/>
                <w:sz w:val="21"/>
                <w:szCs w:val="21"/>
                <w:highlight w:val="none"/>
                <w:lang w:val="en-US" w:eastAsia="zh-CN"/>
              </w:rPr>
              <w:t>分）</w:t>
            </w:r>
          </w:p>
        </w:tc>
        <w:tc>
          <w:tcPr>
            <w:tcW w:w="6770" w:type="dxa"/>
            <w:noWrap w:val="0"/>
            <w:vAlign w:val="center"/>
          </w:tcPr>
          <w:p w14:paraId="155E9094">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sz w:val="21"/>
                <w:szCs w:val="21"/>
                <w:highlight w:val="none"/>
              </w:rPr>
              <w:t>供应商</w:t>
            </w:r>
            <w:r>
              <w:rPr>
                <w:rFonts w:hint="eastAsia" w:ascii="宋体" w:hAnsi="宋体" w:eastAsia="宋体" w:cs="宋体"/>
                <w:b w:val="0"/>
                <w:bCs w:val="0"/>
                <w:color w:val="auto"/>
                <w:kern w:val="2"/>
                <w:sz w:val="21"/>
                <w:szCs w:val="21"/>
                <w:highlight w:val="none"/>
                <w:lang w:val="en-US" w:eastAsia="zh-CN"/>
              </w:rPr>
              <w:t>提供的</w:t>
            </w:r>
            <w:r>
              <w:rPr>
                <w:rFonts w:hint="eastAsia" w:ascii="宋体" w:hAnsi="宋体" w:eastAsia="宋体" w:cs="宋体"/>
                <w:b w:val="0"/>
                <w:bCs w:val="0"/>
                <w:color w:val="auto"/>
                <w:sz w:val="21"/>
                <w:szCs w:val="21"/>
                <w:highlight w:val="none"/>
                <w:lang w:eastAsia="zh-CN"/>
              </w:rPr>
              <w:t>供货</w:t>
            </w:r>
            <w:r>
              <w:rPr>
                <w:rFonts w:hint="eastAsia" w:ascii="宋体" w:hAnsi="宋体" w:eastAsia="宋体" w:cs="宋体"/>
                <w:b w:val="0"/>
                <w:bCs w:val="0"/>
                <w:color w:val="auto"/>
                <w:sz w:val="21"/>
                <w:szCs w:val="21"/>
                <w:highlight w:val="none"/>
              </w:rPr>
              <w:t>方案，包括</w:t>
            </w:r>
            <w:r>
              <w:rPr>
                <w:rFonts w:hint="eastAsia" w:ascii="宋体" w:hAnsi="宋体" w:eastAsia="宋体" w:cs="宋体"/>
                <w:b w:val="0"/>
                <w:bCs w:val="0"/>
                <w:color w:val="auto"/>
                <w:sz w:val="21"/>
                <w:szCs w:val="21"/>
                <w:highlight w:val="none"/>
                <w:lang w:eastAsia="zh-CN"/>
              </w:rPr>
              <w:t>供货计划、</w:t>
            </w:r>
            <w:r>
              <w:rPr>
                <w:rFonts w:hint="eastAsia" w:ascii="宋体" w:hAnsi="宋体" w:eastAsia="宋体" w:cs="宋体"/>
                <w:b w:val="0"/>
                <w:bCs w:val="0"/>
                <w:color w:val="auto"/>
                <w:sz w:val="21"/>
                <w:szCs w:val="21"/>
                <w:highlight w:val="none"/>
              </w:rPr>
              <w:t>安装调试方案（前期工作、工具配备、时间安排）</w:t>
            </w:r>
            <w:r>
              <w:rPr>
                <w:rFonts w:hint="eastAsia" w:ascii="宋体" w:hAnsi="宋体" w:eastAsia="宋体" w:cs="宋体"/>
                <w:b w:val="0"/>
                <w:bCs w:val="0"/>
                <w:color w:val="auto"/>
                <w:sz w:val="21"/>
                <w:szCs w:val="21"/>
                <w:highlight w:val="none"/>
                <w:lang w:val="en-US" w:eastAsia="zh-CN"/>
              </w:rPr>
              <w:t>、</w:t>
            </w:r>
            <w:r>
              <w:rPr>
                <w:rFonts w:hint="eastAsia" w:ascii="宋体" w:hAnsi="宋体" w:cs="宋体"/>
                <w:b w:val="0"/>
                <w:bCs w:val="0"/>
                <w:color w:val="auto"/>
                <w:sz w:val="21"/>
                <w:szCs w:val="21"/>
                <w:highlight w:val="none"/>
                <w:lang w:val="en-US" w:eastAsia="zh-CN"/>
              </w:rPr>
              <w:t>人员配备安排、人员</w:t>
            </w:r>
            <w:r>
              <w:rPr>
                <w:rFonts w:hint="eastAsia" w:ascii="宋体" w:hAnsi="宋体" w:eastAsia="宋体" w:cs="宋体"/>
                <w:color w:val="auto"/>
                <w:sz w:val="21"/>
                <w:szCs w:val="21"/>
                <w:highlight w:val="none"/>
                <w:lang w:val="en-US" w:eastAsia="zh-CN"/>
              </w:rPr>
              <w:t>专业技术能力说明及</w:t>
            </w:r>
            <w:r>
              <w:rPr>
                <w:rFonts w:hint="eastAsia" w:ascii="宋体" w:hAnsi="宋体" w:cs="宋体"/>
                <w:color w:val="auto"/>
                <w:sz w:val="21"/>
                <w:szCs w:val="21"/>
                <w:highlight w:val="none"/>
                <w:lang w:val="en-US" w:eastAsia="zh-CN"/>
              </w:rPr>
              <w:t>相关工作</w:t>
            </w:r>
            <w:r>
              <w:rPr>
                <w:rFonts w:hint="eastAsia" w:ascii="宋体" w:hAnsi="宋体" w:eastAsia="宋体" w:cs="宋体"/>
                <w:color w:val="auto"/>
                <w:sz w:val="21"/>
                <w:szCs w:val="21"/>
                <w:highlight w:val="none"/>
                <w:lang w:val="en-US" w:eastAsia="zh-CN"/>
              </w:rPr>
              <w:t>经验</w:t>
            </w:r>
            <w:r>
              <w:rPr>
                <w:rFonts w:hint="eastAsia" w:ascii="宋体" w:hAnsi="宋体" w:cs="宋体"/>
                <w:color w:val="auto"/>
                <w:sz w:val="21"/>
                <w:szCs w:val="21"/>
                <w:highlight w:val="none"/>
                <w:lang w:val="en-US" w:eastAsia="zh-CN"/>
              </w:rPr>
              <w:t>、</w:t>
            </w:r>
            <w:r>
              <w:rPr>
                <w:rFonts w:hint="eastAsia" w:ascii="宋体" w:hAnsi="宋体" w:cs="宋体"/>
                <w:b w:val="0"/>
                <w:bCs w:val="0"/>
                <w:color w:val="auto"/>
                <w:sz w:val="21"/>
                <w:szCs w:val="21"/>
                <w:highlight w:val="none"/>
                <w:lang w:val="en-US" w:eastAsia="zh-CN"/>
              </w:rPr>
              <w:t>人员安全防护方案</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eastAsia="zh-CN"/>
              </w:rPr>
              <w:t>验收</w:t>
            </w: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val="en-US" w:eastAsia="zh-CN"/>
              </w:rPr>
              <w:t>等进行打分。</w:t>
            </w:r>
          </w:p>
          <w:p w14:paraId="1F88D3D3">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cs="宋体"/>
                <w:color w:val="auto"/>
                <w:sz w:val="21"/>
                <w:szCs w:val="21"/>
                <w:highlight w:val="none"/>
                <w:lang w:val="en-US" w:eastAsia="zh-CN"/>
              </w:rPr>
              <w:t>供货方案完善、可行性强，团队成员专业性强、经验丰富、人员配备充足，能够完全满足项目需求的</w:t>
            </w: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得</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lang w:val="en-US" w:eastAsia="zh-CN"/>
              </w:rPr>
              <w:t>分；</w:t>
            </w:r>
          </w:p>
          <w:p w14:paraId="3848F550">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供货方案较完善、可行性较强，团队成员专业性较强、人员配备合理，基本满足项目需求的，得3分；</w:t>
            </w:r>
          </w:p>
          <w:p w14:paraId="3A86FFE0">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cs="宋体"/>
                <w:color w:val="auto"/>
                <w:sz w:val="21"/>
                <w:szCs w:val="21"/>
                <w:highlight w:val="none"/>
                <w:lang w:val="en-US" w:eastAsia="zh-CN"/>
              </w:rPr>
              <w:t>供货方案不完善，可行性差，团队成员专业性、人员数量不能完全满足项目需求的，得1分。</w:t>
            </w:r>
          </w:p>
          <w:p w14:paraId="010040BC">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缺项得0分。</w:t>
            </w:r>
          </w:p>
        </w:tc>
      </w:tr>
      <w:tr w14:paraId="4F7B9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74423E6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continue"/>
            <w:noWrap w:val="0"/>
            <w:vAlign w:val="center"/>
          </w:tcPr>
          <w:p w14:paraId="40E330BA">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p>
        </w:tc>
        <w:tc>
          <w:tcPr>
            <w:tcW w:w="6770" w:type="dxa"/>
            <w:noWrap w:val="0"/>
            <w:vAlign w:val="center"/>
          </w:tcPr>
          <w:p w14:paraId="6140581A">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sz w:val="21"/>
                <w:szCs w:val="21"/>
                <w:highlight w:val="none"/>
              </w:rPr>
              <w:t>供应商</w:t>
            </w:r>
            <w:r>
              <w:rPr>
                <w:rFonts w:hint="eastAsia" w:ascii="宋体" w:hAnsi="宋体" w:eastAsia="宋体" w:cs="宋体"/>
                <w:b w:val="0"/>
                <w:bCs w:val="0"/>
                <w:color w:val="auto"/>
                <w:kern w:val="2"/>
                <w:sz w:val="21"/>
                <w:szCs w:val="21"/>
                <w:highlight w:val="none"/>
                <w:lang w:val="en-US" w:eastAsia="zh-CN"/>
              </w:rPr>
              <w:t>提供的供货保障措施</w:t>
            </w:r>
            <w:r>
              <w:rPr>
                <w:rFonts w:hint="eastAsia" w:ascii="宋体" w:hAnsi="宋体" w:eastAsia="宋体" w:cs="宋体"/>
                <w:b w:val="0"/>
                <w:bCs w:val="0"/>
                <w:color w:val="auto"/>
                <w:sz w:val="21"/>
                <w:szCs w:val="21"/>
                <w:highlight w:val="none"/>
              </w:rPr>
              <w:t>，包括</w:t>
            </w:r>
            <w:r>
              <w:rPr>
                <w:rFonts w:hint="eastAsia" w:ascii="宋体" w:hAnsi="宋体" w:eastAsia="宋体" w:cs="宋体"/>
                <w:b w:val="0"/>
                <w:bCs w:val="0"/>
                <w:color w:val="auto"/>
                <w:sz w:val="21"/>
                <w:szCs w:val="21"/>
                <w:highlight w:val="none"/>
                <w:lang w:eastAsia="zh-CN"/>
              </w:rPr>
              <w:t>货源保障措施、</w:t>
            </w:r>
            <w:r>
              <w:rPr>
                <w:rFonts w:hint="eastAsia" w:ascii="宋体" w:hAnsi="宋体" w:eastAsia="宋体" w:cs="宋体"/>
                <w:b w:val="0"/>
                <w:bCs w:val="0"/>
                <w:color w:val="auto"/>
                <w:sz w:val="21"/>
                <w:szCs w:val="21"/>
                <w:highlight w:val="none"/>
              </w:rPr>
              <w:t>交货期保证措施</w:t>
            </w:r>
            <w:r>
              <w:rPr>
                <w:rFonts w:hint="eastAsia" w:ascii="宋体" w:hAnsi="宋体" w:eastAsia="宋体" w:cs="宋体"/>
                <w:b w:val="0"/>
                <w:bCs w:val="0"/>
                <w:color w:val="auto"/>
                <w:sz w:val="21"/>
                <w:szCs w:val="21"/>
                <w:highlight w:val="none"/>
                <w:lang w:val="en-US" w:eastAsia="zh-CN"/>
              </w:rPr>
              <w:t>等进行打分。</w:t>
            </w:r>
          </w:p>
          <w:p w14:paraId="29090E81">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方案</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可行性强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完全满足采购需求的得</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lang w:val="en-US" w:eastAsia="zh-CN"/>
              </w:rPr>
              <w:t>分；</w:t>
            </w:r>
          </w:p>
          <w:p w14:paraId="694BEA2E">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方案</w:t>
            </w:r>
            <w:r>
              <w:rPr>
                <w:rFonts w:hint="eastAsia" w:ascii="宋体" w:hAnsi="宋体" w:eastAsia="宋体" w:cs="宋体"/>
                <w:color w:val="auto"/>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rPr>
              <w:t>合理性</w:t>
            </w:r>
            <w:r>
              <w:rPr>
                <w:rFonts w:hint="eastAsia" w:ascii="宋体" w:hAnsi="宋体" w:eastAsia="宋体" w:cs="宋体"/>
                <w:color w:val="auto"/>
                <w:szCs w:val="21"/>
                <w:highlight w:val="none"/>
                <w:lang w:eastAsia="zh-CN" w:bidi="ar"/>
              </w:rPr>
              <w:t>、</w:t>
            </w:r>
            <w:r>
              <w:rPr>
                <w:rFonts w:hint="eastAsia" w:ascii="宋体" w:hAnsi="宋体" w:eastAsia="宋体" w:cs="宋体"/>
                <w:color w:val="auto"/>
                <w:szCs w:val="21"/>
                <w:highlight w:val="none"/>
                <w:lang w:bidi="ar"/>
              </w:rPr>
              <w:t>可行性较</w:t>
            </w:r>
            <w:r>
              <w:rPr>
                <w:rFonts w:hint="eastAsia" w:ascii="宋体" w:hAnsi="宋体" w:eastAsia="宋体" w:cs="宋体"/>
                <w:b w:val="0"/>
                <w:bCs w:val="0"/>
                <w:color w:val="auto"/>
                <w:sz w:val="21"/>
                <w:szCs w:val="21"/>
                <w:highlight w:val="none"/>
              </w:rPr>
              <w:t>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基本满足采购需求的得3分；</w:t>
            </w:r>
          </w:p>
          <w:p w14:paraId="01DEC067">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方案内容不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color w:val="auto"/>
                <w:szCs w:val="21"/>
                <w:highlight w:val="none"/>
                <w:lang w:eastAsia="zh-CN" w:bidi="ar"/>
              </w:rPr>
              <w:t>、</w:t>
            </w:r>
            <w:r>
              <w:rPr>
                <w:rFonts w:hint="eastAsia" w:ascii="宋体" w:hAnsi="宋体" w:eastAsia="宋体" w:cs="宋体"/>
                <w:color w:val="auto"/>
                <w:szCs w:val="21"/>
                <w:highlight w:val="none"/>
                <w:lang w:bidi="ar"/>
              </w:rPr>
              <w:t>可行性</w:t>
            </w:r>
            <w:r>
              <w:rPr>
                <w:rFonts w:hint="eastAsia" w:ascii="宋体" w:hAnsi="宋体" w:eastAsia="宋体" w:cs="宋体"/>
                <w:b w:val="0"/>
                <w:bCs w:val="0"/>
                <w:color w:val="auto"/>
                <w:sz w:val="21"/>
                <w:szCs w:val="21"/>
                <w:highlight w:val="none"/>
                <w:lang w:val="en-US" w:eastAsia="zh-CN"/>
              </w:rPr>
              <w:t>差</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不能满足采购需求的得1分</w:t>
            </w:r>
            <w:r>
              <w:rPr>
                <w:rFonts w:hint="eastAsia" w:ascii="宋体" w:hAnsi="宋体" w:eastAsia="宋体" w:cs="宋体"/>
                <w:b w:val="0"/>
                <w:bCs w:val="0"/>
                <w:color w:val="auto"/>
                <w:sz w:val="21"/>
                <w:szCs w:val="21"/>
                <w:highlight w:val="none"/>
              </w:rPr>
              <w:t>；</w:t>
            </w:r>
          </w:p>
          <w:p w14:paraId="74070E0B">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缺项得0分。</w:t>
            </w:r>
          </w:p>
        </w:tc>
      </w:tr>
      <w:tr w14:paraId="1C56A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0"/>
            <w:vAlign w:val="center"/>
          </w:tcPr>
          <w:p w14:paraId="501C95DA">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vMerge w:val="continue"/>
            <w:noWrap w:val="0"/>
            <w:vAlign w:val="center"/>
          </w:tcPr>
          <w:p w14:paraId="2B1E79EE">
            <w:pPr>
              <w:keepNext w:val="0"/>
              <w:keepLines w:val="0"/>
              <w:pageBreakBefore w:val="0"/>
              <w:widowControl/>
              <w:kinsoku/>
              <w:wordWrap/>
              <w:overflowPunct/>
              <w:topLinePunct w:val="0"/>
              <w:autoSpaceDE/>
              <w:autoSpaceDN/>
              <w:bidi w:val="0"/>
              <w:adjustRightInd/>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p>
        </w:tc>
        <w:tc>
          <w:tcPr>
            <w:tcW w:w="6770" w:type="dxa"/>
            <w:noWrap w:val="0"/>
            <w:vAlign w:val="center"/>
          </w:tcPr>
          <w:p w14:paraId="6E7D8191">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根据供应商针对突发情况提供应急服务方案及保障措施进行打分，包含（但不限于）以下内容：应急响应流程及响应时间、应急保障措施（人员、车辆等）。</w:t>
            </w:r>
          </w:p>
          <w:p w14:paraId="62C0D648">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应急响应时间快，应急响应措施完全满足采购需求，得3分；</w:t>
            </w:r>
          </w:p>
          <w:p w14:paraId="2AB1D0C3">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应急响应时间及时，应急响应措施基本满足采购需求，得2分；</w:t>
            </w:r>
          </w:p>
          <w:p w14:paraId="7E31764A">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应急响应时间不及时，应急响应措施不能满足采购需求，得1分；</w:t>
            </w:r>
          </w:p>
          <w:p w14:paraId="505DB2EC">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缺项得0分。</w:t>
            </w:r>
          </w:p>
        </w:tc>
      </w:tr>
      <w:tr w14:paraId="36FA1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1239" w:type="dxa"/>
            <w:vMerge w:val="restart"/>
            <w:noWrap w:val="0"/>
            <w:vAlign w:val="center"/>
          </w:tcPr>
          <w:p w14:paraId="4AB3486B">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14:paraId="16FFFD17">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20</w:t>
            </w:r>
            <w:r>
              <w:rPr>
                <w:rFonts w:hint="eastAsia" w:ascii="宋体" w:hAnsi="宋体" w:eastAsia="宋体" w:cs="宋体"/>
                <w:b w:val="0"/>
                <w:bCs w:val="0"/>
                <w:color w:val="auto"/>
                <w:sz w:val="21"/>
                <w:szCs w:val="21"/>
                <w:highlight w:val="none"/>
                <w:lang w:eastAsia="zh-CN"/>
              </w:rPr>
              <w:t>分)</w:t>
            </w:r>
          </w:p>
        </w:tc>
        <w:tc>
          <w:tcPr>
            <w:tcW w:w="1473" w:type="dxa"/>
            <w:tcBorders>
              <w:top w:val="single" w:color="auto" w:sz="4" w:space="0"/>
            </w:tcBorders>
            <w:noWrap w:val="0"/>
            <w:vAlign w:val="center"/>
          </w:tcPr>
          <w:p w14:paraId="05CEF87E">
            <w:pPr>
              <w:keepNext w:val="0"/>
              <w:keepLines w:val="0"/>
              <w:pageBreakBefore w:val="0"/>
              <w:numPr>
                <w:ilvl w:val="0"/>
                <w:numId w:val="0"/>
              </w:numPr>
              <w:kinsoku/>
              <w:wordWrap/>
              <w:overflowPunct/>
              <w:topLinePunct w:val="0"/>
              <w:bidi w:val="0"/>
              <w:snapToGrid w:val="0"/>
              <w:spacing w:line="320" w:lineRule="exact"/>
              <w:ind w:firstLine="210" w:firstLineChars="100"/>
              <w:jc w:val="both"/>
              <w:textAlignment w:val="auto"/>
              <w:rPr>
                <w:rFonts w:hint="eastAsia" w:ascii="宋体" w:hAnsi="宋体" w:cs="宋体"/>
                <w:b w:val="0"/>
                <w:bCs w:val="0"/>
                <w:color w:val="auto"/>
                <w:kern w:val="2"/>
                <w:sz w:val="21"/>
                <w:szCs w:val="21"/>
                <w:highlight w:val="none"/>
                <w:lang w:val="en-US" w:eastAsia="zh-CN"/>
              </w:rPr>
            </w:pPr>
            <w:r>
              <w:rPr>
                <w:rFonts w:hint="eastAsia" w:ascii="宋体" w:hAnsi="宋体" w:cs="宋体"/>
                <w:b w:val="0"/>
                <w:bCs w:val="0"/>
                <w:color w:val="auto"/>
                <w:kern w:val="2"/>
                <w:sz w:val="21"/>
                <w:szCs w:val="21"/>
                <w:highlight w:val="none"/>
                <w:lang w:val="en-US" w:eastAsia="zh-CN"/>
              </w:rPr>
              <w:t>1.质保期</w:t>
            </w:r>
          </w:p>
          <w:p w14:paraId="1FEBA9E7">
            <w:pPr>
              <w:keepNext w:val="0"/>
              <w:keepLines w:val="0"/>
              <w:pageBreakBefore w:val="0"/>
              <w:numPr>
                <w:ilvl w:val="0"/>
                <w:numId w:val="0"/>
              </w:numPr>
              <w:kinsoku/>
              <w:wordWrap/>
              <w:overflowPunct/>
              <w:topLinePunct w:val="0"/>
              <w:bidi w:val="0"/>
              <w:snapToGrid w:val="0"/>
              <w:spacing w:line="320" w:lineRule="exact"/>
              <w:ind w:firstLine="420" w:firstLineChars="200"/>
              <w:jc w:val="both"/>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kern w:val="2"/>
                <w:sz w:val="21"/>
                <w:szCs w:val="21"/>
                <w:highlight w:val="none"/>
                <w:lang w:val="en-US" w:eastAsia="zh-CN"/>
              </w:rPr>
              <w:t>（4分）</w:t>
            </w:r>
          </w:p>
        </w:tc>
        <w:tc>
          <w:tcPr>
            <w:tcW w:w="6770" w:type="dxa"/>
            <w:noWrap w:val="0"/>
            <w:vAlign w:val="center"/>
          </w:tcPr>
          <w:p w14:paraId="49326274">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cs="宋体"/>
                <w:color w:val="auto"/>
                <w:sz w:val="21"/>
                <w:szCs w:val="21"/>
                <w:highlight w:val="none"/>
                <w:lang w:val="en-US" w:eastAsia="zh-CN"/>
              </w:rPr>
              <w:t>在</w:t>
            </w:r>
            <w:r>
              <w:rPr>
                <w:rFonts w:hint="eastAsia" w:ascii="宋体" w:hAnsi="宋体" w:cs="宋体"/>
                <w:color w:val="auto"/>
                <w:sz w:val="21"/>
                <w:szCs w:val="21"/>
                <w:highlight w:val="none"/>
              </w:rPr>
              <w:t>免费质保服务</w:t>
            </w:r>
            <w:r>
              <w:rPr>
                <w:rFonts w:hint="eastAsia" w:ascii="宋体" w:hAnsi="宋体" w:cs="宋体"/>
                <w:color w:val="auto"/>
                <w:sz w:val="21"/>
                <w:szCs w:val="21"/>
                <w:highlight w:val="none"/>
                <w:lang w:val="en-US" w:eastAsia="zh-CN"/>
              </w:rPr>
              <w:t>满足</w:t>
            </w:r>
            <w:r>
              <w:rPr>
                <w:rFonts w:hint="eastAsia" w:ascii="宋体" w:hAnsi="宋体" w:cs="宋体"/>
                <w:color w:val="auto"/>
                <w:sz w:val="21"/>
                <w:szCs w:val="21"/>
                <w:highlight w:val="none"/>
              </w:rPr>
              <w:t>磋商文件规定的</w:t>
            </w:r>
            <w:r>
              <w:rPr>
                <w:rFonts w:hint="eastAsia" w:ascii="宋体" w:hAnsi="宋体" w:cs="宋体"/>
                <w:color w:val="auto"/>
                <w:sz w:val="21"/>
                <w:szCs w:val="21"/>
                <w:highlight w:val="none"/>
                <w:lang w:val="en-US" w:eastAsia="zh-CN"/>
              </w:rPr>
              <w:t>基础上</w:t>
            </w:r>
            <w:r>
              <w:rPr>
                <w:rFonts w:hint="eastAsia" w:ascii="宋体" w:hAnsi="宋体" w:cs="宋体"/>
                <w:color w:val="auto"/>
                <w:sz w:val="21"/>
                <w:szCs w:val="21"/>
                <w:highlight w:val="none"/>
              </w:rPr>
              <w:t>，每增加一年</w:t>
            </w:r>
            <w:r>
              <w:rPr>
                <w:rFonts w:hint="eastAsia" w:ascii="宋体" w:hAnsi="宋体" w:cs="宋体"/>
                <w:color w:val="auto"/>
                <w:sz w:val="21"/>
                <w:szCs w:val="21"/>
                <w:highlight w:val="none"/>
                <w:lang w:val="en-US" w:eastAsia="zh-CN"/>
              </w:rPr>
              <w:t>质保的</w:t>
            </w:r>
            <w:r>
              <w:rPr>
                <w:rFonts w:hint="eastAsia" w:ascii="宋体" w:hAnsi="宋体" w:cs="宋体"/>
                <w:color w:val="auto"/>
                <w:sz w:val="21"/>
                <w:szCs w:val="21"/>
                <w:highlight w:val="none"/>
              </w:rPr>
              <w:t>得 2 分,最多得</w:t>
            </w:r>
            <w:r>
              <w:rPr>
                <w:rFonts w:hint="eastAsia" w:ascii="宋体" w:hAnsi="宋体" w:cs="宋体"/>
                <w:color w:val="auto"/>
                <w:sz w:val="21"/>
                <w:szCs w:val="21"/>
                <w:highlight w:val="none"/>
                <w:lang w:val="en-US" w:eastAsia="zh-CN"/>
              </w:rPr>
              <w:t>4</w:t>
            </w:r>
            <w:r>
              <w:rPr>
                <w:rFonts w:hint="eastAsia" w:ascii="宋体" w:hAnsi="宋体" w:cs="宋体"/>
                <w:color w:val="auto"/>
                <w:sz w:val="21"/>
                <w:szCs w:val="21"/>
                <w:highlight w:val="none"/>
              </w:rPr>
              <w:t>分（出具相关服务承诺书）</w:t>
            </w:r>
            <w:r>
              <w:rPr>
                <w:rFonts w:hint="eastAsia" w:ascii="宋体" w:hAnsi="宋体" w:cs="宋体"/>
                <w:color w:val="auto"/>
                <w:sz w:val="21"/>
                <w:szCs w:val="21"/>
                <w:highlight w:val="none"/>
                <w:lang w:eastAsia="zh-CN"/>
              </w:rPr>
              <w:t>。</w:t>
            </w:r>
          </w:p>
        </w:tc>
      </w:tr>
      <w:tr w14:paraId="51B1C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239" w:type="dxa"/>
            <w:vMerge w:val="continue"/>
            <w:noWrap w:val="0"/>
            <w:vAlign w:val="center"/>
          </w:tcPr>
          <w:p w14:paraId="34C27B71">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eastAsia="zh-CN"/>
              </w:rPr>
            </w:pPr>
          </w:p>
        </w:tc>
        <w:tc>
          <w:tcPr>
            <w:tcW w:w="1473" w:type="dxa"/>
            <w:tcBorders>
              <w:top w:val="single" w:color="auto" w:sz="4" w:space="0"/>
            </w:tcBorders>
            <w:noWrap w:val="0"/>
            <w:vAlign w:val="center"/>
          </w:tcPr>
          <w:p w14:paraId="2895444F">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2.类似业绩（</w:t>
            </w:r>
            <w:r>
              <w:rPr>
                <w:rFonts w:hint="eastAsia" w:ascii="宋体" w:hAnsi="宋体" w:cs="宋体"/>
                <w:b w:val="0"/>
                <w:bCs w:val="0"/>
                <w:color w:val="auto"/>
                <w:sz w:val="21"/>
                <w:szCs w:val="21"/>
                <w:highlight w:val="none"/>
                <w:lang w:val="en-US" w:eastAsia="zh-CN"/>
              </w:rPr>
              <w:t>6</w:t>
            </w:r>
            <w:r>
              <w:rPr>
                <w:rFonts w:hint="eastAsia" w:ascii="宋体" w:hAnsi="宋体" w:eastAsia="宋体" w:cs="宋体"/>
                <w:b w:val="0"/>
                <w:bCs w:val="0"/>
                <w:color w:val="auto"/>
                <w:sz w:val="21"/>
                <w:szCs w:val="21"/>
                <w:highlight w:val="none"/>
                <w:lang w:val="en-US" w:eastAsia="zh-CN"/>
              </w:rPr>
              <w:t>分）</w:t>
            </w:r>
          </w:p>
        </w:tc>
        <w:tc>
          <w:tcPr>
            <w:tcW w:w="6770" w:type="dxa"/>
            <w:noWrap w:val="0"/>
            <w:vAlign w:val="center"/>
          </w:tcPr>
          <w:p w14:paraId="7CDAC894">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highlight w:val="none"/>
                <w:lang w:val="en-US" w:eastAsia="zh-CN"/>
              </w:rPr>
            </w:pPr>
            <w:r>
              <w:rPr>
                <w:rFonts w:hint="eastAsia" w:ascii="宋体" w:hAnsi="宋体" w:eastAsia="宋体" w:cs="宋体"/>
                <w:b w:val="0"/>
                <w:bCs w:val="0"/>
                <w:color w:val="auto"/>
                <w:kern w:val="0"/>
                <w:sz w:val="21"/>
                <w:szCs w:val="21"/>
                <w:highlight w:val="none"/>
                <w:lang w:val="en-US" w:eastAsia="zh-CN"/>
              </w:rPr>
              <w:t>自20</w:t>
            </w:r>
            <w:r>
              <w:rPr>
                <w:rFonts w:hint="eastAsia" w:ascii="宋体" w:hAnsi="宋体" w:cs="宋体"/>
                <w:b w:val="0"/>
                <w:bCs w:val="0"/>
                <w:color w:val="auto"/>
                <w:kern w:val="0"/>
                <w:sz w:val="21"/>
                <w:szCs w:val="21"/>
                <w:highlight w:val="none"/>
                <w:lang w:val="en-US" w:eastAsia="zh-CN"/>
              </w:rPr>
              <w:t>22</w:t>
            </w:r>
            <w:r>
              <w:rPr>
                <w:rFonts w:hint="eastAsia" w:ascii="宋体" w:hAnsi="宋体" w:eastAsia="宋体" w:cs="宋体"/>
                <w:b w:val="0"/>
                <w:bCs w:val="0"/>
                <w:color w:val="auto"/>
                <w:kern w:val="0"/>
                <w:sz w:val="21"/>
                <w:szCs w:val="21"/>
                <w:highlight w:val="none"/>
                <w:lang w:val="en-US" w:eastAsia="zh-CN"/>
              </w:rPr>
              <w:t>年1月1日以来具有的类似项目(以合同文件为准），每提供一份得</w:t>
            </w:r>
            <w:r>
              <w:rPr>
                <w:rFonts w:hint="eastAsia" w:ascii="宋体" w:hAnsi="宋体" w:cs="宋体"/>
                <w:b w:val="0"/>
                <w:bCs w:val="0"/>
                <w:color w:val="auto"/>
                <w:kern w:val="0"/>
                <w:sz w:val="21"/>
                <w:szCs w:val="21"/>
                <w:highlight w:val="none"/>
                <w:lang w:val="en-US" w:eastAsia="zh-CN"/>
              </w:rPr>
              <w:t>2</w:t>
            </w:r>
            <w:r>
              <w:rPr>
                <w:rFonts w:hint="eastAsia" w:ascii="宋体" w:hAnsi="宋体" w:eastAsia="宋体" w:cs="宋体"/>
                <w:b w:val="0"/>
                <w:bCs w:val="0"/>
                <w:color w:val="auto"/>
                <w:kern w:val="0"/>
                <w:sz w:val="21"/>
                <w:szCs w:val="21"/>
                <w:highlight w:val="none"/>
                <w:lang w:val="en-US" w:eastAsia="zh-CN"/>
              </w:rPr>
              <w:t>分，最多得</w:t>
            </w:r>
            <w:r>
              <w:rPr>
                <w:rFonts w:hint="eastAsia" w:ascii="宋体" w:hAnsi="宋体" w:cs="宋体"/>
                <w:b w:val="0"/>
                <w:bCs w:val="0"/>
                <w:color w:val="auto"/>
                <w:kern w:val="0"/>
                <w:sz w:val="21"/>
                <w:szCs w:val="21"/>
                <w:highlight w:val="none"/>
                <w:lang w:val="en-US" w:eastAsia="zh-CN"/>
              </w:rPr>
              <w:t>6</w:t>
            </w:r>
            <w:r>
              <w:rPr>
                <w:rFonts w:hint="eastAsia" w:ascii="宋体" w:hAnsi="宋体" w:eastAsia="宋体" w:cs="宋体"/>
                <w:b w:val="0"/>
                <w:bCs w:val="0"/>
                <w:color w:val="auto"/>
                <w:kern w:val="0"/>
                <w:sz w:val="21"/>
                <w:szCs w:val="21"/>
                <w:highlight w:val="none"/>
                <w:lang w:val="en-US" w:eastAsia="zh-CN"/>
              </w:rPr>
              <w:t>分。</w:t>
            </w:r>
          </w:p>
        </w:tc>
      </w:tr>
      <w:tr w14:paraId="0956D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1239" w:type="dxa"/>
            <w:vMerge w:val="continue"/>
            <w:noWrap w:val="0"/>
            <w:vAlign w:val="center"/>
          </w:tcPr>
          <w:p w14:paraId="5BB2A0C5">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vMerge w:val="restart"/>
            <w:noWrap w:val="0"/>
            <w:vAlign w:val="center"/>
          </w:tcPr>
          <w:p w14:paraId="74875535">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3.售后服务方案（10分）</w:t>
            </w:r>
          </w:p>
        </w:tc>
        <w:tc>
          <w:tcPr>
            <w:tcW w:w="6770" w:type="dxa"/>
            <w:noWrap w:val="0"/>
            <w:vAlign w:val="center"/>
          </w:tcPr>
          <w:p w14:paraId="1AD85778">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评委根据供应商提供的售后服务体系，包括售后服务网点及时效性、响应流程、问题反馈、服务方式等进行打分。</w:t>
            </w:r>
          </w:p>
          <w:p w14:paraId="6EF7AF25">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以上方案完全符合项目特点，售后服务响应快的得5分；</w:t>
            </w:r>
          </w:p>
          <w:p w14:paraId="37D698EA">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售后服务方案基本满足项目需求，售后服务响应及时的得3分；</w:t>
            </w:r>
          </w:p>
          <w:p w14:paraId="68095201">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售后服务方案不满足项目需求的得1分；</w:t>
            </w:r>
          </w:p>
          <w:p w14:paraId="026F1167">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highlight w:val="none"/>
              </w:rPr>
            </w:pPr>
            <w:r>
              <w:rPr>
                <w:rFonts w:hint="eastAsia" w:ascii="宋体" w:hAnsi="宋体" w:eastAsia="宋体" w:cs="宋体"/>
                <w:b w:val="0"/>
                <w:bCs w:val="0"/>
                <w:color w:val="auto"/>
                <w:sz w:val="21"/>
                <w:szCs w:val="21"/>
                <w:highlight w:val="none"/>
                <w:lang w:val="en-US" w:eastAsia="zh-CN"/>
              </w:rPr>
              <w:t>缺项得0分。</w:t>
            </w:r>
          </w:p>
        </w:tc>
      </w:tr>
      <w:tr w14:paraId="208F1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5" w:hRule="atLeast"/>
          <w:jc w:val="center"/>
        </w:trPr>
        <w:tc>
          <w:tcPr>
            <w:tcW w:w="1239" w:type="dxa"/>
            <w:vMerge w:val="continue"/>
            <w:noWrap w:val="0"/>
            <w:vAlign w:val="center"/>
          </w:tcPr>
          <w:p w14:paraId="68582B44">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p>
        </w:tc>
        <w:tc>
          <w:tcPr>
            <w:tcW w:w="1473" w:type="dxa"/>
            <w:vMerge w:val="continue"/>
            <w:noWrap w:val="0"/>
            <w:vAlign w:val="center"/>
          </w:tcPr>
          <w:p w14:paraId="7843DA66">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lang w:val="en-US" w:eastAsia="zh-CN"/>
              </w:rPr>
            </w:pPr>
          </w:p>
        </w:tc>
        <w:tc>
          <w:tcPr>
            <w:tcW w:w="6770" w:type="dxa"/>
            <w:noWrap w:val="0"/>
            <w:vAlign w:val="center"/>
          </w:tcPr>
          <w:p w14:paraId="7BBE3B48">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评委根据</w:t>
            </w:r>
            <w:r>
              <w:rPr>
                <w:rFonts w:hint="eastAsia" w:ascii="宋体" w:hAnsi="宋体" w:eastAsia="宋体" w:cs="宋体"/>
                <w:b w:val="0"/>
                <w:bCs w:val="0"/>
                <w:color w:val="auto"/>
                <w:kern w:val="2"/>
                <w:sz w:val="21"/>
                <w:szCs w:val="21"/>
                <w:highlight w:val="none"/>
                <w:lang w:val="en-US" w:eastAsia="zh-CN"/>
              </w:rPr>
              <w:t>供应商提供的售后服务保障措施，包括企业提供本地化服务的措施、售后人员数量、专业</w:t>
            </w:r>
            <w:r>
              <w:rPr>
                <w:rFonts w:hint="eastAsia" w:ascii="宋体" w:hAnsi="宋体" w:cs="宋体"/>
                <w:b w:val="0"/>
                <w:bCs w:val="0"/>
                <w:color w:val="auto"/>
                <w:kern w:val="2"/>
                <w:sz w:val="21"/>
                <w:szCs w:val="21"/>
                <w:highlight w:val="none"/>
                <w:lang w:val="en-US" w:eastAsia="zh-CN"/>
              </w:rPr>
              <w:t>技术水平</w:t>
            </w:r>
            <w:r>
              <w:rPr>
                <w:rFonts w:hint="eastAsia" w:ascii="宋体" w:hAnsi="宋体" w:eastAsia="宋体" w:cs="宋体"/>
                <w:b w:val="0"/>
                <w:bCs w:val="0"/>
                <w:color w:val="auto"/>
                <w:kern w:val="2"/>
                <w:sz w:val="21"/>
                <w:szCs w:val="21"/>
                <w:highlight w:val="none"/>
                <w:lang w:val="en-US" w:eastAsia="zh-CN"/>
              </w:rPr>
              <w:t>等</w:t>
            </w:r>
            <w:r>
              <w:rPr>
                <w:rFonts w:hint="eastAsia" w:ascii="宋体" w:hAnsi="宋体" w:eastAsia="宋体" w:cs="宋体"/>
                <w:b w:val="0"/>
                <w:bCs w:val="0"/>
                <w:color w:val="auto"/>
                <w:sz w:val="21"/>
                <w:szCs w:val="21"/>
                <w:highlight w:val="none"/>
                <w:lang w:val="en-US" w:eastAsia="zh-CN"/>
              </w:rPr>
              <w:t>进行打分。</w:t>
            </w:r>
          </w:p>
          <w:p w14:paraId="7B0FD347">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保障措施</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售后人员配备充足、专业性强的得5分；</w:t>
            </w:r>
          </w:p>
          <w:p w14:paraId="21FC50E8">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color w:val="auto"/>
                <w:szCs w:val="21"/>
                <w:highlight w:val="none"/>
                <w:lang w:bidi="ar"/>
              </w:rPr>
              <w:t>较</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售后人员专业性较强的得3分；</w:t>
            </w:r>
          </w:p>
          <w:p w14:paraId="7F43E2E9">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2"/>
                <w:sz w:val="21"/>
                <w:szCs w:val="21"/>
                <w:highlight w:val="none"/>
                <w:lang w:val="en-US" w:eastAsia="zh-CN"/>
              </w:rPr>
              <w:t>服务体系</w:t>
            </w:r>
            <w:r>
              <w:rPr>
                <w:rFonts w:hint="eastAsia" w:ascii="宋体" w:hAnsi="宋体" w:eastAsia="宋体" w:cs="宋体"/>
                <w:b w:val="0"/>
                <w:bCs w:val="0"/>
                <w:color w:val="auto"/>
                <w:sz w:val="21"/>
                <w:szCs w:val="21"/>
                <w:highlight w:val="none"/>
                <w:lang w:val="en-US" w:eastAsia="zh-CN"/>
              </w:rPr>
              <w:t>内容不</w:t>
            </w:r>
            <w:r>
              <w:rPr>
                <w:rFonts w:hint="eastAsia" w:ascii="宋体" w:hAnsi="宋体" w:eastAsia="宋体" w:cs="宋体"/>
                <w:b w:val="0"/>
                <w:bCs w:val="0"/>
                <w:color w:val="auto"/>
                <w:sz w:val="21"/>
                <w:szCs w:val="21"/>
                <w:highlight w:val="none"/>
                <w:lang w:eastAsia="zh-CN"/>
              </w:rPr>
              <w:t>详细</w:t>
            </w:r>
            <w:r>
              <w:rPr>
                <w:rFonts w:hint="eastAsia" w:ascii="宋体" w:hAnsi="宋体" w:eastAsia="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rPr>
              <w:t>合理性</w:t>
            </w:r>
            <w:r>
              <w:rPr>
                <w:rFonts w:hint="eastAsia" w:ascii="宋体" w:hAnsi="宋体" w:eastAsia="宋体" w:cs="宋体"/>
                <w:color w:val="auto"/>
                <w:szCs w:val="21"/>
                <w:highlight w:val="none"/>
                <w:lang w:eastAsia="zh-CN" w:bidi="ar"/>
              </w:rPr>
              <w:t>、</w:t>
            </w:r>
            <w:r>
              <w:rPr>
                <w:rFonts w:hint="eastAsia" w:ascii="宋体" w:hAnsi="宋体" w:eastAsia="宋体" w:cs="宋体"/>
                <w:color w:val="auto"/>
                <w:szCs w:val="21"/>
                <w:highlight w:val="none"/>
                <w:lang w:bidi="ar"/>
              </w:rPr>
              <w:t>可行性</w:t>
            </w:r>
            <w:r>
              <w:rPr>
                <w:rFonts w:hint="eastAsia" w:ascii="宋体" w:hAnsi="宋体" w:eastAsia="宋体" w:cs="宋体"/>
                <w:b w:val="0"/>
                <w:bCs w:val="0"/>
                <w:color w:val="auto"/>
                <w:sz w:val="21"/>
                <w:szCs w:val="21"/>
                <w:highlight w:val="none"/>
                <w:lang w:val="en-US" w:eastAsia="zh-CN"/>
              </w:rPr>
              <w:t>差的得1分</w:t>
            </w:r>
            <w:r>
              <w:rPr>
                <w:rFonts w:hint="eastAsia" w:ascii="宋体" w:hAnsi="宋体" w:eastAsia="宋体" w:cs="宋体"/>
                <w:b w:val="0"/>
                <w:bCs w:val="0"/>
                <w:color w:val="auto"/>
                <w:sz w:val="21"/>
                <w:szCs w:val="21"/>
                <w:highlight w:val="none"/>
              </w:rPr>
              <w:t>；</w:t>
            </w:r>
          </w:p>
          <w:p w14:paraId="74054BEE">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color w:val="auto"/>
                <w:highlight w:val="none"/>
              </w:rPr>
            </w:pPr>
            <w:r>
              <w:rPr>
                <w:rFonts w:hint="eastAsia" w:ascii="宋体" w:hAnsi="宋体" w:eastAsia="宋体" w:cs="宋体"/>
                <w:b w:val="0"/>
                <w:bCs w:val="0"/>
                <w:color w:val="auto"/>
                <w:sz w:val="21"/>
                <w:szCs w:val="21"/>
                <w:highlight w:val="none"/>
              </w:rPr>
              <w:t>缺项得0分。</w:t>
            </w:r>
          </w:p>
        </w:tc>
      </w:tr>
      <w:tr w14:paraId="3F7CB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val="0"/>
            <w:vAlign w:val="top"/>
          </w:tcPr>
          <w:p w14:paraId="5AE06CB3">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14:paraId="391833C1">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成员评分=各项评分因素的汇总得分。</w:t>
            </w:r>
          </w:p>
          <w:p w14:paraId="531397B3">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所有成员合计评分/</w:t>
            </w:r>
            <w:r>
              <w:rPr>
                <w:rFonts w:hint="eastAsia" w:ascii="宋体" w:hAnsi="宋体" w:cs="宋体"/>
                <w:b w:val="0"/>
                <w:bCs w:val="0"/>
                <w:color w:val="auto"/>
                <w:sz w:val="21"/>
                <w:szCs w:val="21"/>
                <w:highlight w:val="none"/>
                <w:lang w:eastAsia="zh-CN"/>
              </w:rPr>
              <w:t>磋商小组</w:t>
            </w:r>
            <w:r>
              <w:rPr>
                <w:rFonts w:hint="eastAsia" w:ascii="宋体" w:hAnsi="宋体" w:eastAsia="宋体" w:cs="宋体"/>
                <w:b w:val="0"/>
                <w:bCs w:val="0"/>
                <w:color w:val="auto"/>
                <w:sz w:val="21"/>
                <w:szCs w:val="21"/>
                <w:highlight w:val="none"/>
              </w:rPr>
              <w:t>组成人员数。</w:t>
            </w:r>
          </w:p>
        </w:tc>
      </w:tr>
    </w:tbl>
    <w:p w14:paraId="1AE0577B">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eastAsia" w:ascii="宋体" w:hAnsi="宋体" w:eastAsia="宋体" w:cs="宋体"/>
          <w:color w:val="auto"/>
          <w:kern w:val="0"/>
          <w:szCs w:val="21"/>
          <w:highlight w:val="none"/>
        </w:rPr>
      </w:pPr>
    </w:p>
    <w:p w14:paraId="38C63B20">
      <w:pPr>
        <w:keepNext w:val="0"/>
        <w:pageBreakBefore w:val="0"/>
        <w:widowControl w:val="0"/>
        <w:overflowPunct/>
        <w:topLinePunct w:val="0"/>
        <w:bidi w:val="0"/>
        <w:rPr>
          <w:rFonts w:hint="eastAsia" w:ascii="宋体" w:hAnsi="宋体" w:eastAsia="宋体" w:cs="宋体"/>
          <w:b/>
          <w:color w:val="auto"/>
          <w:highlight w:val="none"/>
        </w:rPr>
      </w:pPr>
      <w:r>
        <w:rPr>
          <w:rFonts w:hint="eastAsia" w:ascii="宋体" w:hAnsi="宋体" w:eastAsia="宋体" w:cs="宋体"/>
          <w:b/>
          <w:color w:val="auto"/>
          <w:highlight w:val="none"/>
        </w:rPr>
        <w:br w:type="page"/>
      </w:r>
    </w:p>
    <w:bookmarkEnd w:id="48"/>
    <w:p w14:paraId="2CCD7513">
      <w:pPr>
        <w:keepNext w:val="0"/>
        <w:pageBreakBefore w:val="0"/>
        <w:widowControl w:val="0"/>
        <w:overflowPunct/>
        <w:topLinePunct w:val="0"/>
        <w:bidi w:val="0"/>
        <w:rPr>
          <w:rFonts w:hint="eastAsia" w:ascii="宋体" w:hAnsi="宋体" w:eastAsia="宋体" w:cs="宋体"/>
          <w:color w:val="auto"/>
          <w:highlight w:val="none"/>
        </w:rPr>
      </w:pPr>
      <w:bookmarkStart w:id="50" w:name="_Toc1482"/>
      <w:bookmarkStart w:id="51" w:name="_Toc1947"/>
      <w:bookmarkStart w:id="52" w:name="_Toc326786897"/>
      <w:bookmarkStart w:id="53" w:name="_Toc256519703"/>
    </w:p>
    <w:p w14:paraId="5A0BE0D1">
      <w:pPr>
        <w:pStyle w:val="3"/>
        <w:keepNext w:val="0"/>
        <w:pageBreakBefore w:val="0"/>
        <w:widowControl w:val="0"/>
        <w:overflowPunct/>
        <w:topLinePunct w:val="0"/>
        <w:bidi w:val="0"/>
        <w:snapToGrid w:val="0"/>
        <w:spacing w:before="0" w:after="0" w:line="480" w:lineRule="auto"/>
        <w:jc w:val="center"/>
        <w:rPr>
          <w:rFonts w:hint="eastAsia" w:ascii="宋体" w:hAnsi="宋体" w:eastAsia="宋体" w:cs="宋体"/>
          <w:color w:val="auto"/>
          <w:sz w:val="28"/>
          <w:szCs w:val="28"/>
          <w:highlight w:val="none"/>
        </w:rPr>
      </w:pPr>
      <w:bookmarkStart w:id="54" w:name="_Toc11904"/>
      <w:r>
        <w:rPr>
          <w:rFonts w:hint="eastAsia" w:ascii="宋体" w:hAnsi="宋体" w:eastAsia="宋体" w:cs="宋体"/>
          <w:color w:val="auto"/>
          <w:sz w:val="28"/>
          <w:szCs w:val="28"/>
          <w:highlight w:val="none"/>
        </w:rPr>
        <w:t>第五章  采购合同</w:t>
      </w:r>
      <w:bookmarkEnd w:id="54"/>
    </w:p>
    <w:p w14:paraId="7203F7C0">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以实际合同为准</w:t>
      </w:r>
      <w:r>
        <w:rPr>
          <w:rFonts w:hint="eastAsia" w:ascii="宋体" w:hAnsi="宋体" w:eastAsia="宋体" w:cs="宋体"/>
          <w:color w:val="auto"/>
          <w:sz w:val="21"/>
          <w:szCs w:val="21"/>
          <w:highlight w:val="none"/>
          <w:lang w:eastAsia="zh-CN"/>
        </w:rPr>
        <w:t>）</w:t>
      </w:r>
    </w:p>
    <w:p w14:paraId="04849F9F">
      <w:pPr>
        <w:keepNext w:val="0"/>
        <w:pageBreakBefore w:val="0"/>
        <w:widowControl w:val="0"/>
        <w:overflowPunct/>
        <w:topLinePunct w:val="0"/>
        <w:bidi w:val="0"/>
        <w:rPr>
          <w:rFonts w:hint="eastAsia" w:ascii="宋体" w:hAnsi="宋体" w:eastAsia="宋体" w:cs="宋体"/>
          <w:color w:val="auto"/>
          <w:sz w:val="32"/>
          <w:szCs w:val="32"/>
          <w:highlight w:val="none"/>
        </w:rPr>
      </w:pPr>
    </w:p>
    <w:p w14:paraId="4150DAB8">
      <w:pPr>
        <w:keepNext w:val="0"/>
        <w:pageBreakBefore w:val="0"/>
        <w:widowControl w:val="0"/>
        <w:overflowPunct/>
        <w:topLinePunct w:val="0"/>
        <w:bidi w:val="0"/>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24F83DAA">
      <w:pPr>
        <w:pStyle w:val="31"/>
        <w:keepNext w:val="0"/>
        <w:pageBreakBefore w:val="0"/>
        <w:widowControl w:val="0"/>
        <w:overflowPunct/>
        <w:topLinePunct w:val="0"/>
        <w:bidi w:val="0"/>
        <w:rPr>
          <w:rFonts w:hint="eastAsia" w:ascii="宋体" w:hAnsi="宋体" w:eastAsia="宋体" w:cs="宋体"/>
          <w:color w:val="auto"/>
          <w:highlight w:val="none"/>
        </w:rPr>
      </w:pPr>
    </w:p>
    <w:p w14:paraId="30EBB8A6">
      <w:pPr>
        <w:pStyle w:val="3"/>
        <w:keepNext w:val="0"/>
        <w:pageBreakBefore w:val="0"/>
        <w:widowControl w:val="0"/>
        <w:overflowPunct/>
        <w:topLinePunct w:val="0"/>
        <w:bidi w:val="0"/>
        <w:jc w:val="center"/>
        <w:rPr>
          <w:rFonts w:hint="eastAsia" w:ascii="宋体" w:hAnsi="宋体" w:eastAsia="宋体" w:cs="宋体"/>
          <w:color w:val="auto"/>
          <w:kern w:val="0"/>
          <w:highlight w:val="none"/>
        </w:rPr>
      </w:pPr>
      <w:bookmarkStart w:id="55" w:name="_Toc18702"/>
      <w:r>
        <w:rPr>
          <w:rFonts w:hint="eastAsia" w:ascii="宋体" w:hAnsi="宋体" w:eastAsia="宋体" w:cs="宋体"/>
          <w:color w:val="auto"/>
          <w:sz w:val="32"/>
          <w:szCs w:val="32"/>
          <w:highlight w:val="none"/>
        </w:rPr>
        <w:t xml:space="preserve">第六章  </w:t>
      </w:r>
      <w:r>
        <w:rPr>
          <w:rFonts w:hint="eastAsia" w:ascii="宋体" w:hAnsi="宋体" w:eastAsia="宋体" w:cs="宋体"/>
          <w:color w:val="auto"/>
          <w:sz w:val="32"/>
          <w:szCs w:val="32"/>
          <w:highlight w:val="none"/>
          <w:lang w:val="en-US" w:eastAsia="zh-CN"/>
        </w:rPr>
        <w:t>响应</w:t>
      </w:r>
      <w:r>
        <w:rPr>
          <w:rFonts w:hint="eastAsia" w:ascii="宋体" w:hAnsi="宋体" w:eastAsia="宋体" w:cs="宋体"/>
          <w:color w:val="auto"/>
          <w:sz w:val="32"/>
          <w:szCs w:val="32"/>
          <w:highlight w:val="none"/>
        </w:rPr>
        <w:t>文件格式</w:t>
      </w:r>
      <w:bookmarkEnd w:id="50"/>
      <w:bookmarkEnd w:id="51"/>
      <w:bookmarkEnd w:id="55"/>
    </w:p>
    <w:p w14:paraId="5164A6B6">
      <w:pPr>
        <w:keepNext w:val="0"/>
        <w:pageBreakBefore w:val="0"/>
        <w:widowControl w:val="0"/>
        <w:overflowPunct/>
        <w:topLinePunct w:val="0"/>
        <w:bidi w:val="0"/>
        <w:spacing w:line="440" w:lineRule="exact"/>
        <w:rPr>
          <w:rFonts w:hint="eastAsia" w:ascii="宋体" w:hAnsi="宋体" w:eastAsia="宋体" w:cs="宋体"/>
          <w:color w:val="auto"/>
          <w:sz w:val="24"/>
          <w:highlight w:val="none"/>
        </w:rPr>
      </w:pPr>
    </w:p>
    <w:p w14:paraId="1238A038">
      <w:pPr>
        <w:keepNext w:val="0"/>
        <w:pageBreakBefore w:val="0"/>
        <w:widowControl w:val="0"/>
        <w:overflowPunct/>
        <w:topLinePunct w:val="0"/>
        <w:bidi w:val="0"/>
        <w:jc w:val="center"/>
        <w:rPr>
          <w:rFonts w:hint="eastAsia" w:ascii="宋体" w:hAnsi="宋体" w:eastAsia="宋体" w:cs="宋体"/>
          <w:b/>
          <w:bCs/>
          <w:color w:val="auto"/>
          <w:sz w:val="32"/>
          <w:szCs w:val="32"/>
          <w:highlight w:val="none"/>
        </w:rPr>
      </w:pPr>
      <w:bookmarkStart w:id="56" w:name="_Toc13604"/>
      <w:r>
        <w:rPr>
          <w:rFonts w:hint="eastAsia" w:ascii="宋体" w:hAnsi="宋体" w:eastAsia="宋体" w:cs="宋体"/>
          <w:b/>
          <w:bCs/>
          <w:color w:val="auto"/>
          <w:sz w:val="32"/>
          <w:szCs w:val="32"/>
          <w:highlight w:val="none"/>
        </w:rPr>
        <w:t>目    录</w:t>
      </w:r>
      <w:bookmarkEnd w:id="56"/>
    </w:p>
    <w:p w14:paraId="3DEA2778">
      <w:pPr>
        <w:keepNext w:val="0"/>
        <w:pageBreakBefore w:val="0"/>
        <w:widowControl w:val="0"/>
        <w:wordWrap w:val="0"/>
        <w:overflowPunct/>
        <w:topLinePunct w:val="0"/>
        <w:bidi w:val="0"/>
        <w:spacing w:line="460" w:lineRule="exact"/>
        <w:ind w:firstLine="480" w:firstLineChars="200"/>
        <w:jc w:val="left"/>
        <w:rPr>
          <w:rFonts w:hint="eastAsia" w:ascii="宋体" w:hAnsi="宋体" w:eastAsia="宋体" w:cs="宋体"/>
          <w:color w:val="auto"/>
          <w:kern w:val="0"/>
          <w:sz w:val="24"/>
          <w:highlight w:val="none"/>
        </w:rPr>
      </w:pPr>
    </w:p>
    <w:p w14:paraId="02B20E01">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rPr>
      </w:pPr>
      <w:bookmarkStart w:id="57" w:name="_Toc11308"/>
      <w:r>
        <w:rPr>
          <w:rFonts w:hint="eastAsia" w:ascii="宋体" w:hAnsi="宋体" w:eastAsia="宋体" w:cs="宋体"/>
          <w:color w:val="auto"/>
          <w:sz w:val="24"/>
          <w:highlight w:val="none"/>
        </w:rPr>
        <w:t>附件1</w:t>
      </w:r>
      <w:r>
        <w:rPr>
          <w:rFonts w:hint="eastAsia" w:ascii="宋体" w:hAnsi="宋体" w:cs="宋体"/>
          <w:color w:val="auto"/>
          <w:sz w:val="24"/>
          <w:highlight w:val="none"/>
          <w:lang w:val="en-US" w:eastAsia="zh-CN"/>
        </w:rPr>
        <w:t xml:space="preserve"> </w:t>
      </w:r>
      <w:r>
        <w:rPr>
          <w:rFonts w:hint="eastAsia" w:ascii="宋体" w:hAnsi="宋体" w:eastAsia="宋体" w:cs="宋体"/>
          <w:color w:val="auto"/>
          <w:sz w:val="24"/>
          <w:highlight w:val="none"/>
          <w:lang w:val="en-US" w:eastAsia="zh-CN"/>
        </w:rPr>
        <w:t>响应</w:t>
      </w:r>
      <w:r>
        <w:rPr>
          <w:rFonts w:hint="eastAsia" w:ascii="宋体" w:hAnsi="宋体" w:eastAsia="宋体" w:cs="宋体"/>
          <w:color w:val="auto"/>
          <w:sz w:val="24"/>
          <w:highlight w:val="none"/>
        </w:rPr>
        <w:t>文件封面（格式）</w:t>
      </w:r>
      <w:bookmarkEnd w:id="57"/>
    </w:p>
    <w:p w14:paraId="6AB0C51F">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rPr>
      </w:pPr>
      <w:bookmarkStart w:id="58" w:name="_Toc25345"/>
      <w:r>
        <w:rPr>
          <w:rFonts w:hint="eastAsia" w:ascii="宋体" w:hAnsi="宋体" w:eastAsia="宋体" w:cs="宋体"/>
          <w:color w:val="auto"/>
          <w:sz w:val="24"/>
          <w:highlight w:val="none"/>
        </w:rPr>
        <w:t xml:space="preserve">附件2 </w:t>
      </w:r>
      <w:r>
        <w:rPr>
          <w:rFonts w:hint="eastAsia" w:ascii="宋体" w:hAnsi="宋体" w:eastAsia="宋体" w:cs="宋体"/>
          <w:color w:val="auto"/>
          <w:kern w:val="0"/>
          <w:sz w:val="24"/>
          <w:szCs w:val="24"/>
          <w:highlight w:val="none"/>
        </w:rPr>
        <w:t>竞争性</w:t>
      </w:r>
      <w:r>
        <w:rPr>
          <w:rFonts w:hint="eastAsia" w:ascii="宋体" w:hAnsi="宋体" w:eastAsia="宋体" w:cs="宋体"/>
          <w:color w:val="auto"/>
          <w:kern w:val="0"/>
          <w:sz w:val="24"/>
          <w:szCs w:val="24"/>
          <w:highlight w:val="none"/>
          <w:lang w:eastAsia="zh-CN"/>
        </w:rPr>
        <w:t>磋商</w:t>
      </w:r>
      <w:r>
        <w:rPr>
          <w:rFonts w:hint="eastAsia" w:ascii="宋体" w:hAnsi="宋体" w:eastAsia="宋体" w:cs="宋体"/>
          <w:color w:val="auto"/>
          <w:kern w:val="0"/>
          <w:sz w:val="24"/>
          <w:szCs w:val="24"/>
          <w:highlight w:val="none"/>
        </w:rPr>
        <w:t>响应书</w:t>
      </w:r>
      <w:r>
        <w:rPr>
          <w:rFonts w:hint="eastAsia" w:ascii="宋体" w:hAnsi="宋体" w:eastAsia="宋体" w:cs="宋体"/>
          <w:color w:val="auto"/>
          <w:sz w:val="24"/>
          <w:highlight w:val="none"/>
        </w:rPr>
        <w:t>（格式）</w:t>
      </w:r>
      <w:bookmarkEnd w:id="58"/>
    </w:p>
    <w:p w14:paraId="767965AA">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rPr>
      </w:pPr>
      <w:bookmarkStart w:id="59" w:name="_Toc10217"/>
      <w:r>
        <w:rPr>
          <w:rFonts w:hint="eastAsia" w:ascii="宋体" w:hAnsi="宋体" w:eastAsia="宋体" w:cs="宋体"/>
          <w:color w:val="auto"/>
          <w:sz w:val="24"/>
          <w:highlight w:val="none"/>
        </w:rPr>
        <w:t xml:space="preserve">附件3 </w:t>
      </w:r>
      <w:r>
        <w:rPr>
          <w:rFonts w:hint="eastAsia" w:ascii="宋体" w:hAnsi="宋体" w:eastAsia="宋体" w:cs="宋体"/>
          <w:color w:val="auto"/>
          <w:kern w:val="0"/>
          <w:sz w:val="24"/>
          <w:szCs w:val="24"/>
          <w:highlight w:val="none"/>
        </w:rPr>
        <w:t>初次报价一览表</w:t>
      </w:r>
      <w:r>
        <w:rPr>
          <w:rFonts w:hint="eastAsia" w:ascii="宋体" w:hAnsi="宋体" w:eastAsia="宋体" w:cs="宋体"/>
          <w:color w:val="auto"/>
          <w:sz w:val="24"/>
          <w:highlight w:val="none"/>
        </w:rPr>
        <w:t>（格式）</w:t>
      </w:r>
      <w:bookmarkEnd w:id="59"/>
    </w:p>
    <w:p w14:paraId="3691EBDD">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lang w:val="en-US"/>
        </w:rPr>
      </w:pPr>
      <w:bookmarkStart w:id="60" w:name="_Toc9579"/>
      <w:r>
        <w:rPr>
          <w:rFonts w:hint="eastAsia" w:ascii="宋体" w:hAnsi="宋体" w:eastAsia="宋体" w:cs="宋体"/>
          <w:color w:val="auto"/>
          <w:sz w:val="24"/>
          <w:highlight w:val="none"/>
        </w:rPr>
        <w:t xml:space="preserve">附件4 </w:t>
      </w:r>
      <w:bookmarkEnd w:id="60"/>
      <w:r>
        <w:rPr>
          <w:rFonts w:hint="eastAsia" w:ascii="宋体" w:hAnsi="宋体" w:eastAsia="宋体" w:cs="宋体"/>
          <w:color w:val="auto"/>
          <w:sz w:val="24"/>
          <w:highlight w:val="none"/>
          <w:lang w:val="en-US" w:eastAsia="zh-CN"/>
        </w:rPr>
        <w:t>报价明细表（格式）</w:t>
      </w:r>
    </w:p>
    <w:p w14:paraId="1C6066E6">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lang w:val="en-US"/>
        </w:rPr>
      </w:pPr>
      <w:bookmarkStart w:id="61" w:name="_Toc28392"/>
      <w:r>
        <w:rPr>
          <w:rFonts w:hint="eastAsia" w:ascii="宋体" w:hAnsi="宋体" w:eastAsia="宋体" w:cs="宋体"/>
          <w:color w:val="auto"/>
          <w:sz w:val="24"/>
          <w:highlight w:val="none"/>
        </w:rPr>
        <w:t>附件5</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技术</w:t>
      </w:r>
      <w:r>
        <w:rPr>
          <w:rFonts w:hint="eastAsia" w:ascii="宋体" w:hAnsi="宋体" w:eastAsia="宋体" w:cs="宋体"/>
          <w:color w:val="auto"/>
          <w:sz w:val="24"/>
          <w:highlight w:val="none"/>
          <w:lang w:val="en-US" w:eastAsia="zh-CN"/>
        </w:rPr>
        <w:t>响应</w:t>
      </w:r>
      <w:bookmarkEnd w:id="61"/>
      <w:r>
        <w:rPr>
          <w:rFonts w:hint="eastAsia" w:ascii="宋体" w:hAnsi="宋体" w:eastAsia="宋体" w:cs="宋体"/>
          <w:color w:val="auto"/>
          <w:sz w:val="24"/>
          <w:highlight w:val="none"/>
          <w:lang w:val="en-US" w:eastAsia="zh-CN"/>
        </w:rPr>
        <w:t>表（格式）</w:t>
      </w:r>
    </w:p>
    <w:p w14:paraId="15A5B1E4">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lang w:val="en-US" w:eastAsia="zh-CN"/>
        </w:rPr>
      </w:pPr>
      <w:bookmarkStart w:id="62" w:name="_Toc6234"/>
      <w:r>
        <w:rPr>
          <w:rFonts w:hint="eastAsia" w:ascii="宋体" w:hAnsi="宋体" w:eastAsia="宋体" w:cs="宋体"/>
          <w:color w:val="auto"/>
          <w:sz w:val="24"/>
          <w:highlight w:val="none"/>
        </w:rPr>
        <w:t>附件6 商务</w:t>
      </w:r>
      <w:bookmarkEnd w:id="62"/>
      <w:r>
        <w:rPr>
          <w:rFonts w:hint="eastAsia" w:ascii="宋体" w:hAnsi="宋体" w:eastAsia="宋体" w:cs="宋体"/>
          <w:color w:val="auto"/>
          <w:sz w:val="24"/>
          <w:highlight w:val="none"/>
          <w:lang w:val="en-US" w:eastAsia="zh-CN"/>
        </w:rPr>
        <w:t>响应表（格式）</w:t>
      </w:r>
    </w:p>
    <w:p w14:paraId="19312541">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rPr>
      </w:pPr>
      <w:bookmarkStart w:id="63" w:name="_Toc26231"/>
      <w:r>
        <w:rPr>
          <w:rFonts w:hint="eastAsia" w:ascii="宋体" w:hAnsi="宋体" w:eastAsia="宋体" w:cs="宋体"/>
          <w:color w:val="auto"/>
          <w:sz w:val="24"/>
          <w:highlight w:val="none"/>
        </w:rPr>
        <w:t>附件7</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法定代表人身份证明（格式）</w:t>
      </w:r>
      <w:bookmarkEnd w:id="63"/>
    </w:p>
    <w:p w14:paraId="73242694">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rPr>
      </w:pPr>
      <w:bookmarkStart w:id="64" w:name="_Toc18484"/>
      <w:r>
        <w:rPr>
          <w:rFonts w:hint="eastAsia" w:ascii="宋体" w:hAnsi="宋体" w:eastAsia="宋体" w:cs="宋体"/>
          <w:color w:val="auto"/>
          <w:sz w:val="24"/>
          <w:highlight w:val="none"/>
        </w:rPr>
        <w:t>附件8</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法定代表人授权书（格式）</w:t>
      </w:r>
      <w:bookmarkEnd w:id="64"/>
    </w:p>
    <w:p w14:paraId="222B26A2">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rPr>
      </w:pPr>
      <w:bookmarkStart w:id="65" w:name="_Toc31857"/>
      <w:r>
        <w:rPr>
          <w:rFonts w:hint="eastAsia" w:ascii="宋体" w:hAnsi="宋体" w:eastAsia="宋体" w:cs="宋体"/>
          <w:color w:val="auto"/>
          <w:sz w:val="24"/>
          <w:highlight w:val="none"/>
        </w:rPr>
        <w:t>附件9 证明文件</w:t>
      </w:r>
      <w:bookmarkEnd w:id="65"/>
    </w:p>
    <w:p w14:paraId="0927E7C0">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rPr>
      </w:pPr>
      <w:bookmarkStart w:id="66" w:name="_Toc23116"/>
      <w:r>
        <w:rPr>
          <w:rFonts w:hint="eastAsia" w:ascii="宋体" w:hAnsi="宋体" w:eastAsia="宋体" w:cs="宋体"/>
          <w:color w:val="auto"/>
          <w:sz w:val="24"/>
          <w:highlight w:val="none"/>
        </w:rPr>
        <w:t>附件10 供应商承诺书（格式）</w:t>
      </w:r>
      <w:bookmarkEnd w:id="66"/>
    </w:p>
    <w:p w14:paraId="7C4E2766">
      <w:pPr>
        <w:keepNext w:val="0"/>
        <w:pageBreakBefore w:val="0"/>
        <w:widowControl w:val="0"/>
        <w:overflowPunct/>
        <w:topLinePunct w:val="0"/>
        <w:bidi w:val="0"/>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附件11 供应商信用承诺函（格式）</w:t>
      </w:r>
    </w:p>
    <w:p w14:paraId="63BA1F9E">
      <w:pPr>
        <w:pStyle w:val="31"/>
        <w:keepNext w:val="0"/>
        <w:pageBreakBefore w:val="0"/>
        <w:widowControl w:val="0"/>
        <w:overflowPunct/>
        <w:topLinePunct w:val="0"/>
        <w:bidi w:val="0"/>
        <w:rPr>
          <w:rFonts w:hint="eastAsia" w:ascii="宋体" w:hAnsi="宋体" w:eastAsia="宋体" w:cs="宋体"/>
          <w:color w:val="auto"/>
          <w:highlight w:val="none"/>
        </w:rPr>
      </w:pPr>
    </w:p>
    <w:p w14:paraId="174F59CE">
      <w:pPr>
        <w:keepNext w:val="0"/>
        <w:pageBreakBefore w:val="0"/>
        <w:widowControl w:val="0"/>
        <w:wordWrap w:val="0"/>
        <w:overflowPunct/>
        <w:topLinePunct w:val="0"/>
        <w:bidi w:val="0"/>
        <w:snapToGrid w:val="0"/>
        <w:spacing w:line="460" w:lineRule="exact"/>
        <w:ind w:firstLine="482" w:firstLineChars="200"/>
        <w:jc w:val="center"/>
        <w:rPr>
          <w:rFonts w:hint="eastAsia" w:ascii="宋体" w:hAnsi="宋体" w:eastAsia="宋体" w:cs="宋体"/>
          <w:b/>
          <w:bCs/>
          <w:color w:val="auto"/>
          <w:kern w:val="0"/>
          <w:sz w:val="24"/>
          <w:highlight w:val="none"/>
        </w:rPr>
      </w:pPr>
    </w:p>
    <w:p w14:paraId="66D3C60E">
      <w:pPr>
        <w:keepNext w:val="0"/>
        <w:pageBreakBefore w:val="0"/>
        <w:widowControl w:val="0"/>
        <w:wordWrap w:val="0"/>
        <w:overflowPunct/>
        <w:topLinePunct w:val="0"/>
        <w:bidi w:val="0"/>
        <w:snapToGrid w:val="0"/>
        <w:spacing w:line="460" w:lineRule="exact"/>
        <w:ind w:firstLine="482" w:firstLineChars="200"/>
        <w:jc w:val="center"/>
        <w:rPr>
          <w:rFonts w:hint="eastAsia" w:ascii="宋体" w:hAnsi="宋体" w:eastAsia="宋体" w:cs="宋体"/>
          <w:b/>
          <w:bCs/>
          <w:color w:val="auto"/>
          <w:kern w:val="0"/>
          <w:sz w:val="24"/>
          <w:highlight w:val="none"/>
        </w:rPr>
      </w:pPr>
    </w:p>
    <w:p w14:paraId="643C59F7">
      <w:pPr>
        <w:keepNext w:val="0"/>
        <w:pageBreakBefore w:val="0"/>
        <w:widowControl w:val="0"/>
        <w:wordWrap w:val="0"/>
        <w:overflowPunct/>
        <w:topLinePunct w:val="0"/>
        <w:bidi w:val="0"/>
        <w:snapToGrid w:val="0"/>
        <w:spacing w:line="460" w:lineRule="exact"/>
        <w:ind w:firstLine="482" w:firstLineChars="200"/>
        <w:jc w:val="center"/>
        <w:rPr>
          <w:rFonts w:hint="eastAsia" w:ascii="宋体" w:hAnsi="宋体" w:eastAsia="宋体" w:cs="宋体"/>
          <w:b/>
          <w:bCs/>
          <w:color w:val="auto"/>
          <w:kern w:val="0"/>
          <w:sz w:val="24"/>
          <w:highlight w:val="none"/>
        </w:rPr>
      </w:pPr>
    </w:p>
    <w:p w14:paraId="671DFAE3">
      <w:pPr>
        <w:pStyle w:val="4"/>
        <w:keepNext w:val="0"/>
        <w:pageBreakBefore w:val="0"/>
        <w:widowControl w:val="0"/>
        <w:overflowPunct/>
        <w:topLinePunct w:val="0"/>
        <w:bidi w:val="0"/>
        <w:rPr>
          <w:rFonts w:hint="eastAsia" w:ascii="宋体" w:hAnsi="宋体" w:eastAsia="宋体" w:cs="宋体"/>
          <w:b/>
          <w:bCs/>
          <w:color w:val="auto"/>
          <w:kern w:val="0"/>
          <w:sz w:val="24"/>
          <w:highlight w:val="none"/>
        </w:rPr>
      </w:pPr>
    </w:p>
    <w:p w14:paraId="736844FA">
      <w:pPr>
        <w:pStyle w:val="48"/>
        <w:keepNext w:val="0"/>
        <w:pageBreakBefore w:val="0"/>
        <w:widowControl w:val="0"/>
        <w:overflowPunct/>
        <w:topLinePunct w:val="0"/>
        <w:bidi w:val="0"/>
        <w:rPr>
          <w:rFonts w:hint="eastAsia" w:ascii="宋体" w:hAnsi="宋体" w:eastAsia="宋体" w:cs="宋体"/>
          <w:b/>
          <w:bCs/>
          <w:color w:val="auto"/>
          <w:highlight w:val="none"/>
        </w:rPr>
      </w:pPr>
    </w:p>
    <w:p w14:paraId="7C048156">
      <w:pPr>
        <w:pStyle w:val="48"/>
        <w:keepNext w:val="0"/>
        <w:pageBreakBefore w:val="0"/>
        <w:widowControl w:val="0"/>
        <w:overflowPunct/>
        <w:topLinePunct w:val="0"/>
        <w:bidi w:val="0"/>
        <w:rPr>
          <w:rFonts w:hint="eastAsia" w:ascii="宋体" w:hAnsi="宋体" w:eastAsia="宋体" w:cs="宋体"/>
          <w:b/>
          <w:bCs/>
          <w:color w:val="auto"/>
          <w:highlight w:val="none"/>
        </w:rPr>
      </w:pPr>
    </w:p>
    <w:p w14:paraId="6EFF072B">
      <w:pPr>
        <w:keepNext w:val="0"/>
        <w:pageBreakBefore w:val="0"/>
        <w:widowControl w:val="0"/>
        <w:overflowPunct/>
        <w:topLinePunct w:val="0"/>
        <w:bidi w:val="0"/>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0CFBE809">
      <w:pPr>
        <w:pStyle w:val="26"/>
        <w:keepNext w:val="0"/>
        <w:pageBreakBefore w:val="0"/>
        <w:widowControl w:val="0"/>
        <w:overflowPunct/>
        <w:topLinePunct w:val="0"/>
        <w:bidi w:val="0"/>
        <w:rPr>
          <w:rFonts w:hint="eastAsia" w:ascii="宋体" w:hAnsi="宋体" w:eastAsia="宋体" w:cs="宋体"/>
          <w:color w:val="auto"/>
          <w:highlight w:val="none"/>
        </w:rPr>
      </w:pPr>
    </w:p>
    <w:p w14:paraId="67FE75CD">
      <w:pPr>
        <w:pStyle w:val="5"/>
        <w:keepNext w:val="0"/>
        <w:keepLines/>
        <w:pageBreakBefore w:val="0"/>
        <w:widowControl w:val="0"/>
        <w:kinsoku/>
        <w:wordWrap/>
        <w:overflowPunct/>
        <w:topLinePunct w:val="0"/>
        <w:autoSpaceDE/>
        <w:autoSpaceDN/>
        <w:bidi w:val="0"/>
        <w:adjustRightInd/>
        <w:snapToGrid w:val="0"/>
        <w:spacing w:before="20" w:after="20" w:line="360" w:lineRule="auto"/>
        <w:textAlignment w:val="auto"/>
        <w:rPr>
          <w:rFonts w:hint="eastAsia" w:ascii="宋体" w:hAnsi="宋体" w:eastAsia="宋体" w:cs="宋体"/>
          <w:color w:val="auto"/>
          <w:sz w:val="28"/>
          <w:szCs w:val="28"/>
          <w:highlight w:val="none"/>
        </w:rPr>
      </w:pPr>
      <w:bookmarkStart w:id="67" w:name="_Toc31798"/>
      <w:bookmarkStart w:id="68" w:name="_Toc24743"/>
      <w:r>
        <w:rPr>
          <w:rFonts w:hint="eastAsia" w:ascii="宋体" w:hAnsi="宋体" w:eastAsia="宋体" w:cs="宋体"/>
          <w:color w:val="auto"/>
          <w:sz w:val="28"/>
          <w:szCs w:val="28"/>
          <w:highlight w:val="none"/>
        </w:rPr>
        <w:t xml:space="preserve">附件1               </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rPr>
        <w:t>文件封面（格式）</w:t>
      </w:r>
      <w:bookmarkEnd w:id="67"/>
      <w:bookmarkEnd w:id="68"/>
    </w:p>
    <w:p w14:paraId="3A0AC99C">
      <w:pPr>
        <w:keepNext w:val="0"/>
        <w:pageBreakBefore w:val="0"/>
        <w:widowControl w:val="0"/>
        <w:wordWrap w:val="0"/>
        <w:overflowPunct/>
        <w:topLinePunct w:val="0"/>
        <w:bidi w:val="0"/>
        <w:spacing w:line="460" w:lineRule="exact"/>
        <w:ind w:firstLine="482" w:firstLineChars="200"/>
        <w:jc w:val="center"/>
        <w:rPr>
          <w:rFonts w:hint="eastAsia" w:ascii="宋体" w:hAnsi="宋体" w:eastAsia="宋体" w:cs="宋体"/>
          <w:b/>
          <w:color w:val="auto"/>
          <w:kern w:val="0"/>
          <w:sz w:val="24"/>
          <w:highlight w:val="none"/>
        </w:rPr>
      </w:pPr>
    </w:p>
    <w:p w14:paraId="60EF64BA">
      <w:pPr>
        <w:keepNext w:val="0"/>
        <w:pageBreakBefore w:val="0"/>
        <w:widowControl w:val="0"/>
        <w:overflowPunct/>
        <w:topLinePunct w:val="0"/>
        <w:bidi w:val="0"/>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snapToGrid w:val="0"/>
          <w:color w:val="auto"/>
          <w:spacing w:val="0"/>
          <w:kern w:val="0"/>
          <w:sz w:val="44"/>
          <w:szCs w:val="44"/>
          <w:highlight w:val="none"/>
          <w:u w:val="none"/>
          <w:lang w:val="en-US" w:eastAsia="zh-CN"/>
        </w:rPr>
        <w:t>驻马店市中心医院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14:paraId="37E7F995">
      <w:pPr>
        <w:keepNext w:val="0"/>
        <w:pageBreakBefore w:val="0"/>
        <w:widowControl w:val="0"/>
        <w:overflowPunct/>
        <w:topLinePunct w:val="0"/>
        <w:bidi w:val="0"/>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lang w:val="en-US" w:eastAsia="zh-CN"/>
        </w:rPr>
        <w:t>响应</w:t>
      </w:r>
      <w:r>
        <w:rPr>
          <w:rFonts w:hint="eastAsia" w:ascii="宋体" w:hAnsi="宋体" w:eastAsia="宋体" w:cs="宋体"/>
          <w:b/>
          <w:color w:val="auto"/>
          <w:spacing w:val="90"/>
          <w:sz w:val="52"/>
          <w:szCs w:val="52"/>
          <w:highlight w:val="none"/>
        </w:rPr>
        <w:t>文件</w:t>
      </w:r>
    </w:p>
    <w:p w14:paraId="2A04A499">
      <w:pPr>
        <w:keepNext w:val="0"/>
        <w:pageBreakBefore w:val="0"/>
        <w:widowControl w:val="0"/>
        <w:overflowPunct/>
        <w:topLinePunct w:val="0"/>
        <w:bidi w:val="0"/>
        <w:spacing w:line="360" w:lineRule="auto"/>
        <w:rPr>
          <w:rFonts w:hint="eastAsia" w:ascii="宋体" w:hAnsi="宋体" w:eastAsia="宋体" w:cs="宋体"/>
          <w:color w:val="auto"/>
          <w:sz w:val="28"/>
          <w:highlight w:val="none"/>
        </w:rPr>
      </w:pPr>
    </w:p>
    <w:p w14:paraId="596DC1AB">
      <w:pPr>
        <w:pStyle w:val="48"/>
        <w:keepNext w:val="0"/>
        <w:pageBreakBefore w:val="0"/>
        <w:widowControl w:val="0"/>
        <w:overflowPunct/>
        <w:topLinePunct w:val="0"/>
        <w:bidi w:val="0"/>
        <w:spacing w:line="360" w:lineRule="auto"/>
        <w:rPr>
          <w:rFonts w:hint="eastAsia" w:ascii="宋体" w:hAnsi="宋体" w:eastAsia="宋体" w:cs="宋体"/>
          <w:color w:val="auto"/>
          <w:highlight w:val="none"/>
        </w:rPr>
      </w:pPr>
    </w:p>
    <w:p w14:paraId="51E48B65">
      <w:pPr>
        <w:pStyle w:val="48"/>
        <w:keepNext w:val="0"/>
        <w:pageBreakBefore w:val="0"/>
        <w:widowControl w:val="0"/>
        <w:overflowPunct/>
        <w:topLinePunct w:val="0"/>
        <w:bidi w:val="0"/>
        <w:spacing w:line="360" w:lineRule="auto"/>
        <w:rPr>
          <w:rFonts w:hint="eastAsia" w:ascii="宋体" w:hAnsi="宋体" w:eastAsia="宋体" w:cs="宋体"/>
          <w:color w:val="auto"/>
          <w:highlight w:val="none"/>
        </w:rPr>
      </w:pPr>
    </w:p>
    <w:p w14:paraId="0AF50E0B">
      <w:pPr>
        <w:keepNext w:val="0"/>
        <w:pageBreakBefore w:val="0"/>
        <w:widowControl w:val="0"/>
        <w:overflowPunct/>
        <w:topLinePunct w:val="0"/>
        <w:bidi w:val="0"/>
        <w:spacing w:line="360" w:lineRule="auto"/>
        <w:rPr>
          <w:rFonts w:hint="eastAsia" w:ascii="宋体" w:hAnsi="宋体" w:eastAsia="宋体" w:cs="宋体"/>
          <w:color w:val="auto"/>
          <w:sz w:val="28"/>
          <w:highlight w:val="none"/>
        </w:rPr>
      </w:pPr>
    </w:p>
    <w:p w14:paraId="5DD912A3">
      <w:pPr>
        <w:keepNext w:val="0"/>
        <w:pageBreakBefore w:val="0"/>
        <w:widowControl w:val="0"/>
        <w:overflowPunct/>
        <w:topLinePunct w:val="0"/>
        <w:bidi w:val="0"/>
        <w:spacing w:line="360" w:lineRule="auto"/>
        <w:rPr>
          <w:rFonts w:hint="eastAsia" w:ascii="宋体" w:hAnsi="宋体" w:eastAsia="宋体" w:cs="宋体"/>
          <w:color w:val="auto"/>
          <w:sz w:val="28"/>
          <w:highlight w:val="none"/>
        </w:rPr>
      </w:pPr>
    </w:p>
    <w:p w14:paraId="5C511D16">
      <w:pPr>
        <w:keepNext w:val="0"/>
        <w:pageBreakBefore w:val="0"/>
        <w:widowControl w:val="0"/>
        <w:overflowPunct/>
        <w:topLinePunct w:val="0"/>
        <w:bidi w:val="0"/>
        <w:spacing w:line="360" w:lineRule="auto"/>
        <w:rPr>
          <w:rFonts w:hint="eastAsia" w:ascii="宋体" w:hAnsi="宋体" w:eastAsia="宋体" w:cs="宋体"/>
          <w:color w:val="auto"/>
          <w:sz w:val="28"/>
          <w:highlight w:val="none"/>
        </w:rPr>
      </w:pPr>
    </w:p>
    <w:p w14:paraId="5F7D4E3C">
      <w:pPr>
        <w:keepNext w:val="0"/>
        <w:pageBreakBefore w:val="0"/>
        <w:widowControl w:val="0"/>
        <w:overflowPunct/>
        <w:topLinePunct w:val="0"/>
        <w:bidi w:val="0"/>
        <w:spacing w:line="360" w:lineRule="auto"/>
        <w:rPr>
          <w:rFonts w:hint="eastAsia" w:ascii="宋体" w:hAnsi="宋体" w:eastAsia="宋体" w:cs="宋体"/>
          <w:color w:val="auto"/>
          <w:sz w:val="28"/>
          <w:highlight w:val="none"/>
        </w:rPr>
      </w:pPr>
    </w:p>
    <w:p w14:paraId="4A8855A5">
      <w:pPr>
        <w:keepNext w:val="0"/>
        <w:pageBreakBefore w:val="0"/>
        <w:widowControl w:val="0"/>
        <w:overflowPunct/>
        <w:topLinePunct w:val="0"/>
        <w:bidi w:val="0"/>
        <w:spacing w:line="360" w:lineRule="auto"/>
        <w:rPr>
          <w:rFonts w:hint="eastAsia" w:ascii="宋体" w:hAnsi="宋体" w:eastAsia="宋体" w:cs="宋体"/>
          <w:color w:val="auto"/>
          <w:sz w:val="28"/>
          <w:highlight w:val="none"/>
        </w:rPr>
      </w:pPr>
    </w:p>
    <w:p w14:paraId="6544AFF1">
      <w:pPr>
        <w:keepNext w:val="0"/>
        <w:pageBreakBefore w:val="0"/>
        <w:widowControl w:val="0"/>
        <w:overflowPunct/>
        <w:topLinePunct w:val="0"/>
        <w:bidi w:val="0"/>
        <w:spacing w:line="360" w:lineRule="auto"/>
        <w:rPr>
          <w:rFonts w:hint="eastAsia" w:ascii="宋体" w:hAnsi="宋体" w:eastAsia="宋体" w:cs="宋体"/>
          <w:color w:val="auto"/>
          <w:sz w:val="28"/>
          <w:highlight w:val="none"/>
        </w:rPr>
      </w:pPr>
    </w:p>
    <w:p w14:paraId="26F246B9">
      <w:pPr>
        <w:keepNext w:val="0"/>
        <w:pageBreakBefore w:val="0"/>
        <w:widowControl w:val="0"/>
        <w:overflowPunct/>
        <w:topLinePunct w:val="0"/>
        <w:bidi w:val="0"/>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eastAsia="zh-CN"/>
        </w:rPr>
        <w:t>全称并</w:t>
      </w:r>
      <w:r>
        <w:rPr>
          <w:rFonts w:hint="eastAsia" w:ascii="宋体" w:hAnsi="宋体" w:eastAsia="宋体" w:cs="宋体"/>
          <w:color w:val="auto"/>
          <w:sz w:val="28"/>
          <w:szCs w:val="28"/>
          <w:highlight w:val="none"/>
          <w:lang w:val="en-US" w:eastAsia="zh-CN"/>
        </w:rPr>
        <w:t>加</w:t>
      </w:r>
      <w:r>
        <w:rPr>
          <w:rFonts w:hint="eastAsia" w:ascii="宋体" w:hAnsi="宋体" w:eastAsia="宋体" w:cs="宋体"/>
          <w:color w:val="auto"/>
          <w:sz w:val="28"/>
          <w:szCs w:val="28"/>
          <w:highlight w:val="none"/>
          <w:lang w:eastAsia="zh-CN"/>
        </w:rPr>
        <w:t>盖</w:t>
      </w:r>
      <w:r>
        <w:rPr>
          <w:rFonts w:hint="eastAsia" w:ascii="宋体" w:hAnsi="宋体" w:eastAsia="宋体" w:cs="宋体"/>
          <w:color w:val="auto"/>
          <w:sz w:val="28"/>
          <w:szCs w:val="28"/>
          <w:highlight w:val="none"/>
          <w:lang w:val="en-US" w:eastAsia="zh-CN"/>
        </w:rPr>
        <w:t>公</w:t>
      </w:r>
      <w:r>
        <w:rPr>
          <w:rFonts w:hint="eastAsia" w:ascii="宋体" w:hAnsi="宋体" w:eastAsia="宋体" w:cs="宋体"/>
          <w:color w:val="auto"/>
          <w:sz w:val="28"/>
          <w:szCs w:val="28"/>
          <w:highlight w:val="none"/>
          <w:lang w:eastAsia="zh-CN"/>
        </w:rPr>
        <w:t>章</w:t>
      </w:r>
      <w:r>
        <w:rPr>
          <w:rFonts w:hint="eastAsia" w:ascii="宋体" w:hAnsi="宋体" w:eastAsia="宋体" w:cs="宋体"/>
          <w:color w:val="auto"/>
          <w:sz w:val="28"/>
          <w:szCs w:val="28"/>
          <w:highlight w:val="none"/>
        </w:rPr>
        <w:t>）：</w:t>
      </w:r>
    </w:p>
    <w:p w14:paraId="79D76E85">
      <w:pPr>
        <w:keepNext w:val="0"/>
        <w:pageBreakBefore w:val="0"/>
        <w:widowControl w:val="0"/>
        <w:wordWrap w:val="0"/>
        <w:overflowPunct/>
        <w:topLinePunct w:val="0"/>
        <w:bidi w:val="0"/>
        <w:spacing w:line="460" w:lineRule="exact"/>
        <w:ind w:left="0" w:leftChars="0" w:firstLine="0" w:firstLineChars="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法定代表人或委托代理人（签字</w:t>
      </w:r>
      <w:r>
        <w:rPr>
          <w:rFonts w:hint="eastAsia" w:ascii="宋体" w:hAnsi="宋体" w:eastAsia="宋体" w:cs="宋体"/>
          <w:color w:val="auto"/>
          <w:sz w:val="28"/>
          <w:szCs w:val="28"/>
          <w:highlight w:val="none"/>
          <w:lang w:val="en-US" w:eastAsia="zh-CN"/>
        </w:rPr>
        <w:t>或盖章</w:t>
      </w:r>
      <w:r>
        <w:rPr>
          <w:rFonts w:hint="eastAsia" w:ascii="宋体" w:hAnsi="宋体" w:eastAsia="宋体" w:cs="宋体"/>
          <w:color w:val="auto"/>
          <w:sz w:val="28"/>
          <w:szCs w:val="28"/>
          <w:highlight w:val="none"/>
        </w:rPr>
        <w:t>）：</w:t>
      </w:r>
    </w:p>
    <w:p w14:paraId="4D5E55DE">
      <w:pPr>
        <w:keepNext w:val="0"/>
        <w:pageBreakBefore w:val="0"/>
        <w:widowControl w:val="0"/>
        <w:wordWrap w:val="0"/>
        <w:overflowPunct/>
        <w:topLinePunct w:val="0"/>
        <w:bidi w:val="0"/>
        <w:spacing w:line="460" w:lineRule="exact"/>
        <w:ind w:left="0" w:leftChars="0" w:firstLine="0" w:firstLineChars="0"/>
        <w:jc w:val="center"/>
        <w:rPr>
          <w:rFonts w:hint="eastAsia" w:ascii="宋体" w:hAnsi="宋体" w:eastAsia="宋体" w:cs="宋体"/>
          <w:b/>
          <w:color w:val="auto"/>
          <w:kern w:val="0"/>
          <w:sz w:val="24"/>
          <w:highlight w:val="none"/>
        </w:rPr>
      </w:pPr>
      <w:r>
        <w:rPr>
          <w:rFonts w:hint="eastAsia" w:ascii="宋体" w:hAnsi="宋体" w:eastAsia="宋体" w:cs="宋体"/>
          <w:color w:val="auto"/>
          <w:sz w:val="28"/>
          <w:szCs w:val="28"/>
          <w:highlight w:val="none"/>
        </w:rPr>
        <w:t>年   月   日</w:t>
      </w:r>
    </w:p>
    <w:p w14:paraId="55BD49F4">
      <w:pPr>
        <w:keepNext w:val="0"/>
        <w:pageBreakBefore w:val="0"/>
        <w:widowControl w:val="0"/>
        <w:wordWrap w:val="0"/>
        <w:overflowPunct/>
        <w:topLinePunct w:val="0"/>
        <w:bidi w:val="0"/>
        <w:spacing w:line="460" w:lineRule="exact"/>
        <w:ind w:firstLine="482" w:firstLineChars="200"/>
        <w:jc w:val="left"/>
        <w:rPr>
          <w:rFonts w:hint="eastAsia" w:ascii="宋体" w:hAnsi="宋体" w:eastAsia="宋体" w:cs="宋体"/>
          <w:b/>
          <w:color w:val="auto"/>
          <w:kern w:val="0"/>
          <w:sz w:val="24"/>
          <w:highlight w:val="none"/>
        </w:rPr>
      </w:pPr>
    </w:p>
    <w:p w14:paraId="608C8D96">
      <w:pPr>
        <w:pStyle w:val="4"/>
        <w:keepNext w:val="0"/>
        <w:pageBreakBefore w:val="0"/>
        <w:widowControl w:val="0"/>
        <w:overflowPunct/>
        <w:topLinePunct w:val="0"/>
        <w:bidi w:val="0"/>
        <w:rPr>
          <w:rFonts w:hint="eastAsia" w:ascii="宋体" w:hAnsi="宋体" w:eastAsia="宋体" w:cs="宋体"/>
          <w:b/>
          <w:color w:val="auto"/>
          <w:kern w:val="0"/>
          <w:sz w:val="24"/>
          <w:highlight w:val="none"/>
        </w:rPr>
      </w:pPr>
    </w:p>
    <w:p w14:paraId="7B4C1E5E">
      <w:pPr>
        <w:keepNext w:val="0"/>
        <w:pageBreakBefore w:val="0"/>
        <w:widowControl w:val="0"/>
        <w:overflowPunct/>
        <w:topLinePunct w:val="0"/>
        <w:bidi w:val="0"/>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br w:type="page"/>
      </w:r>
    </w:p>
    <w:p w14:paraId="5D8F552F">
      <w:pPr>
        <w:keepNext w:val="0"/>
        <w:pageBreakBefore w:val="0"/>
        <w:widowControl w:val="0"/>
        <w:overflowPunct/>
        <w:topLinePunct w:val="0"/>
        <w:bidi w:val="0"/>
        <w:rPr>
          <w:rFonts w:hint="eastAsia" w:ascii="宋体" w:hAnsi="宋体" w:eastAsia="宋体" w:cs="宋体"/>
          <w:color w:val="auto"/>
          <w:highlight w:val="none"/>
        </w:rPr>
      </w:pPr>
    </w:p>
    <w:p w14:paraId="4F2DC55F">
      <w:pPr>
        <w:pStyle w:val="5"/>
        <w:keepNext w:val="0"/>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69" w:name="_Toc14560"/>
      <w:bookmarkStart w:id="70" w:name="_Toc8818"/>
      <w:r>
        <w:rPr>
          <w:rFonts w:hint="eastAsia" w:ascii="宋体" w:hAnsi="宋体" w:eastAsia="宋体" w:cs="宋体"/>
          <w:color w:val="auto"/>
          <w:sz w:val="28"/>
          <w:szCs w:val="28"/>
          <w:highlight w:val="none"/>
          <w:lang w:val="en-US" w:eastAsia="zh-CN"/>
        </w:rPr>
        <w:t>附件2      竞争性磋商响应书（格式）</w:t>
      </w:r>
      <w:bookmarkEnd w:id="69"/>
      <w:bookmarkEnd w:id="70"/>
    </w:p>
    <w:p w14:paraId="67AC1E72">
      <w:pPr>
        <w:keepNext w:val="0"/>
        <w:pageBreakBefore w:val="0"/>
        <w:widowControl w:val="0"/>
        <w:wordWrap w:val="0"/>
        <w:overflowPunct/>
        <w:topLinePunct w:val="0"/>
        <w:bidi w:val="0"/>
        <w:snapToGrid w:val="0"/>
        <w:spacing w:line="46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致：</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lang w:eastAsia="zh-CN"/>
        </w:rPr>
        <w:t>采购人</w:t>
      </w:r>
      <w:r>
        <w:rPr>
          <w:rFonts w:hint="eastAsia" w:ascii="宋体" w:hAnsi="宋体" w:eastAsia="宋体" w:cs="宋体"/>
          <w:color w:val="auto"/>
          <w:kern w:val="0"/>
          <w:szCs w:val="21"/>
          <w:highlight w:val="none"/>
          <w:u w:val="single"/>
        </w:rPr>
        <w:t>名称）</w:t>
      </w:r>
      <w:r>
        <w:rPr>
          <w:rFonts w:hint="eastAsia" w:ascii="宋体" w:hAnsi="宋体" w:eastAsia="宋体" w:cs="宋体"/>
          <w:color w:val="auto"/>
          <w:kern w:val="0"/>
          <w:szCs w:val="21"/>
          <w:highlight w:val="none"/>
        </w:rPr>
        <w:t>：</w:t>
      </w:r>
    </w:p>
    <w:p w14:paraId="3EE7C5AA">
      <w:pPr>
        <w:keepNext w:val="0"/>
        <w:pageBreakBefore w:val="0"/>
        <w:widowControl w:val="0"/>
        <w:wordWrap w:val="0"/>
        <w:overflowPunct/>
        <w:topLinePunct w:val="0"/>
        <w:bidi w:val="0"/>
        <w:spacing w:line="460" w:lineRule="exact"/>
        <w:ind w:firstLine="525" w:firstLineChars="25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u w:val="single"/>
        </w:rPr>
        <w:t>（</w:t>
      </w:r>
      <w:r>
        <w:rPr>
          <w:rFonts w:hint="eastAsia" w:ascii="宋体" w:hAnsi="宋体" w:eastAsia="宋体" w:cs="宋体"/>
          <w:color w:val="auto"/>
          <w:kern w:val="0"/>
          <w:szCs w:val="21"/>
          <w:highlight w:val="none"/>
          <w:u w:val="single"/>
          <w:lang w:eastAsia="zh-CN"/>
        </w:rPr>
        <w:t>供应商</w:t>
      </w:r>
      <w:r>
        <w:rPr>
          <w:rFonts w:hint="eastAsia" w:ascii="宋体" w:hAnsi="宋体" w:eastAsia="宋体" w:cs="宋体"/>
          <w:color w:val="auto"/>
          <w:kern w:val="0"/>
          <w:szCs w:val="21"/>
          <w:highlight w:val="none"/>
          <w:u w:val="single"/>
        </w:rPr>
        <w:t>名称）</w:t>
      </w:r>
      <w:r>
        <w:rPr>
          <w:rFonts w:hint="eastAsia" w:ascii="宋体" w:hAnsi="宋体" w:eastAsia="宋体" w:cs="宋体"/>
          <w:color w:val="auto"/>
          <w:kern w:val="0"/>
          <w:szCs w:val="21"/>
          <w:highlight w:val="none"/>
        </w:rPr>
        <w:t xml:space="preserve">现委托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（姓名）为我方代理人，参加贵方组织的</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项目的</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。现正式提交下述文件1份：</w:t>
      </w:r>
    </w:p>
    <w:p w14:paraId="49F687D2">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1、初次报价一览表。</w:t>
      </w:r>
    </w:p>
    <w:p w14:paraId="00DA494B">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2、报价明细表。</w:t>
      </w:r>
    </w:p>
    <w:p w14:paraId="08E646E7">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3</w:t>
      </w:r>
      <w:r>
        <w:rPr>
          <w:rFonts w:hint="eastAsia" w:ascii="宋体" w:hAnsi="宋体" w:eastAsia="宋体" w:cs="宋体"/>
          <w:color w:val="auto"/>
          <w:kern w:val="0"/>
          <w:szCs w:val="21"/>
          <w:highlight w:val="none"/>
        </w:rPr>
        <w:t>、技术响应表。</w:t>
      </w:r>
    </w:p>
    <w:p w14:paraId="1B1B8706">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4</w:t>
      </w:r>
      <w:r>
        <w:rPr>
          <w:rFonts w:hint="eastAsia" w:ascii="宋体" w:hAnsi="宋体" w:eastAsia="宋体" w:cs="宋体"/>
          <w:color w:val="auto"/>
          <w:kern w:val="0"/>
          <w:szCs w:val="21"/>
          <w:highlight w:val="none"/>
        </w:rPr>
        <w:t>、商务响应表。</w:t>
      </w:r>
    </w:p>
    <w:p w14:paraId="0E978E90">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cs="宋体"/>
          <w:color w:val="auto"/>
          <w:kern w:val="0"/>
          <w:szCs w:val="21"/>
          <w:highlight w:val="none"/>
          <w:lang w:val="en-US" w:eastAsia="zh-CN"/>
        </w:rPr>
        <w:t>5</w:t>
      </w:r>
      <w:r>
        <w:rPr>
          <w:rFonts w:hint="eastAsia" w:ascii="宋体" w:hAnsi="宋体" w:eastAsia="宋体" w:cs="宋体"/>
          <w:color w:val="auto"/>
          <w:kern w:val="0"/>
          <w:szCs w:val="21"/>
          <w:highlight w:val="none"/>
        </w:rPr>
        <w:t>、证明文件。</w:t>
      </w:r>
    </w:p>
    <w:p w14:paraId="3FBE8353">
      <w:pPr>
        <w:keepNext w:val="0"/>
        <w:pageBreakBefore w:val="0"/>
        <w:widowControl w:val="0"/>
        <w:wordWrap w:val="0"/>
        <w:overflowPunct/>
        <w:topLinePunct w:val="0"/>
        <w:bidi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为便于贵方公正、择优地确定</w:t>
      </w:r>
      <w:r>
        <w:rPr>
          <w:rFonts w:hint="eastAsia" w:ascii="宋体" w:hAnsi="宋体" w:cs="宋体"/>
          <w:color w:val="auto"/>
          <w:kern w:val="0"/>
          <w:szCs w:val="21"/>
          <w:highlight w:val="none"/>
          <w:lang w:val="en-US" w:eastAsia="zh-CN"/>
        </w:rPr>
        <w:t>成交</w:t>
      </w:r>
      <w:r>
        <w:rPr>
          <w:rFonts w:hint="eastAsia" w:ascii="宋体" w:hAnsi="宋体" w:eastAsia="宋体" w:cs="宋体"/>
          <w:color w:val="auto"/>
          <w:kern w:val="0"/>
          <w:szCs w:val="21"/>
          <w:highlight w:val="none"/>
        </w:rPr>
        <w:t>供应商及其投标产品和服务，我方就本次投标有关事项郑重声明并宣布同意如下：</w:t>
      </w:r>
    </w:p>
    <w:p w14:paraId="40C927B3">
      <w:pPr>
        <w:keepNext w:val="0"/>
        <w:pageBreakBefore w:val="0"/>
        <w:widowControl w:val="0"/>
        <w:wordWrap w:val="0"/>
        <w:overflowPunct/>
        <w:topLinePunct w:val="0"/>
        <w:bidi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1、我方承诺已经具备</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文件中规定的参加政府采购活动的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应当具备的条件。我方愿意向贵方提供任何与本</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项目投标有关的数据、情况和技术资料，并根据需要提供一切承诺的证明材料，并保证其真实、合法、有效。</w:t>
      </w:r>
    </w:p>
    <w:p w14:paraId="60B57D12">
      <w:pPr>
        <w:keepNext w:val="0"/>
        <w:pageBreakBefore w:val="0"/>
        <w:widowControl w:val="0"/>
        <w:wordWrap w:val="0"/>
        <w:overflowPunct/>
        <w:topLinePunct w:val="0"/>
        <w:bidi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2、我方承诺在</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活动中提供的各种材料真实有效。</w:t>
      </w:r>
    </w:p>
    <w:p w14:paraId="367A57E3">
      <w:pPr>
        <w:keepNext w:val="0"/>
        <w:pageBreakBefore w:val="0"/>
        <w:widowControl w:val="0"/>
        <w:wordWrap w:val="0"/>
        <w:overflowPunct/>
        <w:topLinePunct w:val="0"/>
        <w:bidi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3、我方同意在</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文件有效期内遵守本</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文件中的承诺且在此期限期满之前均具有约束力。如果我方</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rPr>
        <w:t>文件有效期与合同履行期相同。</w:t>
      </w:r>
    </w:p>
    <w:p w14:paraId="585D308B">
      <w:pPr>
        <w:keepNext w:val="0"/>
        <w:pageBreakBefore w:val="0"/>
        <w:widowControl w:val="0"/>
        <w:wordWrap w:val="0"/>
        <w:overflowPunct/>
        <w:topLinePunct w:val="0"/>
        <w:bidi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4、我方已详细审查全部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文件，包括修改文件（如有的话）和有关附件，将自行承担因对全部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文件理解不正确或误解而产生的相应后果。</w:t>
      </w:r>
    </w:p>
    <w:p w14:paraId="215B5A76">
      <w:pPr>
        <w:keepNext w:val="0"/>
        <w:pageBreakBefore w:val="0"/>
        <w:widowControl w:val="0"/>
        <w:wordWrap w:val="0"/>
        <w:overflowPunct/>
        <w:topLinePunct w:val="0"/>
        <w:bidi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5、我方保证尊重</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的评</w:t>
      </w:r>
      <w:r>
        <w:rPr>
          <w:rFonts w:hint="eastAsia" w:ascii="宋体" w:hAnsi="宋体" w:eastAsia="宋体" w:cs="宋体"/>
          <w:color w:val="auto"/>
          <w:kern w:val="0"/>
          <w:szCs w:val="21"/>
          <w:highlight w:val="none"/>
          <w:lang w:val="en-US" w:eastAsia="zh-CN"/>
        </w:rPr>
        <w:t>审</w:t>
      </w:r>
      <w:r>
        <w:rPr>
          <w:rFonts w:hint="eastAsia" w:ascii="宋体" w:hAnsi="宋体" w:eastAsia="宋体" w:cs="宋体"/>
          <w:color w:val="auto"/>
          <w:kern w:val="0"/>
          <w:szCs w:val="21"/>
          <w:highlight w:val="none"/>
        </w:rPr>
        <w:t>结果，完全理解本</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项目最低投标价不作为</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的保证。</w:t>
      </w:r>
    </w:p>
    <w:p w14:paraId="037666F6">
      <w:pPr>
        <w:keepNext w:val="0"/>
        <w:pageBreakBefore w:val="0"/>
        <w:widowControl w:val="0"/>
        <w:wordWrap w:val="0"/>
        <w:overflowPunct/>
        <w:topLinePunct w:val="0"/>
        <w:bidi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6、我方理解并遵守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文件的全部规定，接受</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文件中政府采购合同的全部条款且无任何异议。</w:t>
      </w:r>
    </w:p>
    <w:p w14:paraId="5DDB71B9">
      <w:pPr>
        <w:keepNext w:val="0"/>
        <w:pageBreakBefore w:val="0"/>
        <w:widowControl w:val="0"/>
        <w:wordWrap w:val="0"/>
        <w:overflowPunct/>
        <w:topLinePunct w:val="0"/>
        <w:bidi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7、如果我方代表</w:t>
      </w:r>
      <w:r>
        <w:rPr>
          <w:rFonts w:hint="eastAsia" w:ascii="宋体" w:hAnsi="宋体" w:eastAsia="宋体" w:cs="宋体"/>
          <w:bCs/>
          <w:color w:val="auto"/>
          <w:kern w:val="0"/>
          <w:szCs w:val="21"/>
          <w:highlight w:val="none"/>
        </w:rPr>
        <w:t>未按时参加开标的，视同放弃开标监督权利，认可开标结果。</w:t>
      </w:r>
    </w:p>
    <w:p w14:paraId="260130A0">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8、如果我方存在</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须知第9.3项所述情况，同意被认定为在经营活动中有重大违法记录。</w:t>
      </w:r>
    </w:p>
    <w:p w14:paraId="0986EED1">
      <w:pPr>
        <w:keepNext w:val="0"/>
        <w:pageBreakBefore w:val="0"/>
        <w:widowControl w:val="0"/>
        <w:wordWrap w:val="0"/>
        <w:overflowPunct/>
        <w:topLinePunct w:val="0"/>
        <w:bidi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9、如果发生</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须知第2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.4.1、2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.4.3项所述情况，同意我方投标被作为无效</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处理。</w:t>
      </w:r>
    </w:p>
    <w:p w14:paraId="40611F1D">
      <w:pPr>
        <w:keepNext w:val="0"/>
        <w:pageBreakBefore w:val="0"/>
        <w:widowControl w:val="0"/>
        <w:wordWrap w:val="0"/>
        <w:overflowPunct/>
        <w:topLinePunct w:val="0"/>
        <w:bidi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10、如果发生</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须知第2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.5项所述情况，同意</w:t>
      </w:r>
      <w:r>
        <w:rPr>
          <w:rFonts w:hint="eastAsia" w:ascii="宋体" w:hAnsi="宋体" w:eastAsia="宋体" w:cs="宋体"/>
          <w:color w:val="auto"/>
          <w:kern w:val="0"/>
          <w:szCs w:val="21"/>
          <w:highlight w:val="none"/>
          <w:lang w:eastAsia="zh-CN"/>
        </w:rPr>
        <w:t>磋商小组</w:t>
      </w:r>
      <w:r>
        <w:rPr>
          <w:rFonts w:hint="eastAsia" w:ascii="宋体" w:hAnsi="宋体" w:eastAsia="宋体" w:cs="宋体"/>
          <w:color w:val="auto"/>
          <w:kern w:val="0"/>
          <w:szCs w:val="21"/>
          <w:highlight w:val="none"/>
        </w:rPr>
        <w:t>认定我方的行为属于串通投标的行为，并自愿接受监管部门的处罚。</w:t>
      </w:r>
    </w:p>
    <w:p w14:paraId="75E164B2">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11、如果现场变更采购方式，我方同意在不改变</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需求、资质条件等情况下，按变更后的采购方式的规定程序进行采购。</w:t>
      </w:r>
    </w:p>
    <w:p w14:paraId="32832C1B">
      <w:pPr>
        <w:keepNext w:val="0"/>
        <w:pageBreakBefore w:val="0"/>
        <w:widowControl w:val="0"/>
        <w:wordWrap w:val="0"/>
        <w:overflowPunct/>
        <w:topLinePunct w:val="0"/>
        <w:bidi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12、如果被确定为</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供应商，我方同意按</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文件的规定领取</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并缴纳服务费。否则，视为我方</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后自动放弃</w:t>
      </w:r>
      <w:r>
        <w:rPr>
          <w:rFonts w:hint="eastAsia" w:ascii="宋体" w:hAnsi="宋体" w:cs="宋体"/>
          <w:color w:val="auto"/>
          <w:kern w:val="0"/>
          <w:szCs w:val="21"/>
          <w:highlight w:val="none"/>
          <w:lang w:val="en-US" w:eastAsia="zh-CN"/>
        </w:rPr>
        <w:t>成交</w:t>
      </w:r>
      <w:r>
        <w:rPr>
          <w:rFonts w:hint="eastAsia" w:ascii="宋体" w:hAnsi="宋体" w:eastAsia="宋体" w:cs="宋体"/>
          <w:color w:val="auto"/>
          <w:kern w:val="0"/>
          <w:szCs w:val="21"/>
          <w:highlight w:val="none"/>
        </w:rPr>
        <w:t>资格，承担由此引起的一切后果。</w:t>
      </w:r>
    </w:p>
    <w:p w14:paraId="3E427AB7">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13、如果被确定为</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供应商，我方同意在领取</w:t>
      </w:r>
      <w:r>
        <w:rPr>
          <w:rFonts w:hint="eastAsia" w:ascii="宋体" w:hAnsi="宋体" w:eastAsia="宋体" w:cs="宋体"/>
          <w:color w:val="auto"/>
          <w:kern w:val="0"/>
          <w:szCs w:val="21"/>
          <w:highlight w:val="none"/>
          <w:lang w:eastAsia="zh-CN"/>
        </w:rPr>
        <w:t>成交通知书</w:t>
      </w:r>
      <w:r>
        <w:rPr>
          <w:rFonts w:hint="eastAsia" w:ascii="宋体" w:hAnsi="宋体" w:eastAsia="宋体" w:cs="宋体"/>
          <w:color w:val="auto"/>
          <w:kern w:val="0"/>
          <w:szCs w:val="21"/>
          <w:highlight w:val="none"/>
        </w:rPr>
        <w:t>之日起</w:t>
      </w:r>
      <w:r>
        <w:rPr>
          <w:rFonts w:hint="eastAsia" w:ascii="宋体" w:hAnsi="宋体" w:eastAsia="宋体" w:cs="宋体"/>
          <w:color w:val="auto"/>
          <w:kern w:val="0"/>
          <w:szCs w:val="21"/>
          <w:highlight w:val="none"/>
          <w:u w:val="single"/>
          <w:lang w:val="en-US" w:eastAsia="zh-CN"/>
        </w:rPr>
        <w:t xml:space="preserve"> 30  </w:t>
      </w:r>
      <w:r>
        <w:rPr>
          <w:rFonts w:hint="eastAsia" w:ascii="宋体" w:hAnsi="宋体" w:eastAsia="宋体" w:cs="宋体"/>
          <w:color w:val="auto"/>
          <w:kern w:val="0"/>
          <w:szCs w:val="21"/>
          <w:highlight w:val="none"/>
        </w:rPr>
        <w:t>日内，按照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文件的规定与采购人签订采购合同。否则，视为我方</w:t>
      </w:r>
      <w:r>
        <w:rPr>
          <w:rFonts w:hint="eastAsia" w:ascii="宋体" w:hAnsi="宋体" w:eastAsia="宋体" w:cs="宋体"/>
          <w:color w:val="auto"/>
          <w:kern w:val="0"/>
          <w:szCs w:val="21"/>
          <w:highlight w:val="none"/>
          <w:lang w:val="en-US" w:eastAsia="zh-CN"/>
        </w:rPr>
        <w:t>成交</w:t>
      </w:r>
      <w:r>
        <w:rPr>
          <w:rFonts w:hint="eastAsia" w:ascii="宋体" w:hAnsi="宋体" w:eastAsia="宋体" w:cs="宋体"/>
          <w:color w:val="auto"/>
          <w:kern w:val="0"/>
          <w:szCs w:val="21"/>
          <w:highlight w:val="none"/>
        </w:rPr>
        <w:t>后无正当理由不与采购人签订合同并承担相应法律责任。</w:t>
      </w:r>
    </w:p>
    <w:p w14:paraId="19CD535E">
      <w:pPr>
        <w:keepNext w:val="0"/>
        <w:pageBreakBefore w:val="0"/>
        <w:widowControl w:val="0"/>
        <w:wordWrap w:val="0"/>
        <w:overflowPunct/>
        <w:topLinePunct w:val="0"/>
        <w:bidi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14、我方最近3年内的被公开披露或查处的违法违规行为有：</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w:t>
      </w:r>
      <w:r>
        <w:rPr>
          <w:rFonts w:hint="eastAsia" w:ascii="宋体" w:hAnsi="宋体" w:cs="宋体"/>
          <w:b/>
          <w:bCs/>
          <w:color w:val="auto"/>
          <w:kern w:val="0"/>
          <w:szCs w:val="21"/>
          <w:highlight w:val="none"/>
          <w:lang w:eastAsia="zh-CN"/>
        </w:rPr>
        <w:t>（</w:t>
      </w:r>
      <w:r>
        <w:rPr>
          <w:rFonts w:hint="eastAsia" w:ascii="宋体" w:hAnsi="宋体" w:cs="宋体"/>
          <w:b/>
          <w:bCs/>
          <w:color w:val="auto"/>
          <w:kern w:val="0"/>
          <w:szCs w:val="21"/>
          <w:highlight w:val="none"/>
          <w:lang w:val="en-US" w:eastAsia="zh-CN"/>
        </w:rPr>
        <w:t>若无，则填无；若有，逐一列明</w:t>
      </w:r>
      <w:r>
        <w:rPr>
          <w:rFonts w:hint="eastAsia" w:ascii="宋体" w:hAnsi="宋体" w:cs="宋体"/>
          <w:b/>
          <w:bCs/>
          <w:color w:val="auto"/>
          <w:kern w:val="0"/>
          <w:szCs w:val="21"/>
          <w:highlight w:val="none"/>
          <w:lang w:eastAsia="zh-CN"/>
        </w:rPr>
        <w:t>）</w:t>
      </w:r>
    </w:p>
    <w:p w14:paraId="6E9B792B">
      <w:pPr>
        <w:keepNext w:val="0"/>
        <w:pageBreakBefore w:val="0"/>
        <w:widowControl w:val="0"/>
        <w:tabs>
          <w:tab w:val="left" w:pos="939"/>
        </w:tabs>
        <w:wordWrap w:val="0"/>
        <w:overflowPunct/>
        <w:topLinePunct w:val="0"/>
        <w:bidi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15、以上事项如有虚假或隐瞒，我方愿意承担一切后果和责任。</w:t>
      </w:r>
    </w:p>
    <w:p w14:paraId="4F5F1F60">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16、与</w:t>
      </w:r>
      <w:r>
        <w:rPr>
          <w:rFonts w:hint="eastAsia" w:ascii="宋体" w:hAnsi="宋体" w:eastAsia="宋体" w:cs="宋体"/>
          <w:color w:val="auto"/>
          <w:kern w:val="0"/>
          <w:szCs w:val="21"/>
          <w:highlight w:val="none"/>
          <w:lang w:val="en-US" w:eastAsia="zh-CN"/>
        </w:rPr>
        <w:t>磋商</w:t>
      </w:r>
      <w:r>
        <w:rPr>
          <w:rFonts w:hint="eastAsia" w:ascii="宋体" w:hAnsi="宋体" w:eastAsia="宋体" w:cs="宋体"/>
          <w:color w:val="auto"/>
          <w:kern w:val="0"/>
          <w:szCs w:val="21"/>
          <w:highlight w:val="none"/>
        </w:rPr>
        <w:t>有关的一切正式往来通讯请寄（地址电话必须为最新并可以联系到）：</w:t>
      </w:r>
    </w:p>
    <w:p w14:paraId="096D1A4D">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 xml:space="preserve">   地址：  </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邮编：</w:t>
      </w:r>
    </w:p>
    <w:p w14:paraId="2CE1D3D1">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 xml:space="preserve">   电话：  </w:t>
      </w:r>
      <w:r>
        <w:rPr>
          <w:rFonts w:hint="eastAsia" w:ascii="宋体" w:hAnsi="宋体" w:eastAsia="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rPr>
        <w:t xml:space="preserve">传真： </w:t>
      </w:r>
    </w:p>
    <w:p w14:paraId="0CA59689">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rPr>
      </w:pPr>
    </w:p>
    <w:p w14:paraId="60B92D58">
      <w:pPr>
        <w:keepNext w:val="0"/>
        <w:pageBreakBefore w:val="0"/>
        <w:widowControl w:val="0"/>
        <w:wordWrap w:val="0"/>
        <w:overflowPunct/>
        <w:topLinePunct w:val="0"/>
        <w:bidi w:val="0"/>
        <w:spacing w:line="460" w:lineRule="exact"/>
        <w:ind w:firstLine="735" w:firstLineChars="350"/>
        <w:jc w:val="left"/>
        <w:rPr>
          <w:rFonts w:hint="eastAsia" w:ascii="宋体" w:hAnsi="宋体" w:eastAsia="宋体" w:cs="宋体"/>
          <w:color w:val="auto"/>
          <w:kern w:val="0"/>
          <w:szCs w:val="21"/>
          <w:highlight w:val="none"/>
          <w:u w:val="single"/>
        </w:rPr>
      </w:pPr>
      <w:r>
        <w:rPr>
          <w:rFonts w:hint="eastAsia" w:ascii="宋体" w:hAnsi="宋体" w:eastAsia="宋体" w:cs="宋体"/>
          <w:color w:val="auto"/>
          <w:szCs w:val="21"/>
          <w:highlight w:val="none"/>
        </w:rPr>
        <w:t>法定代表人或委托代理人（签字</w:t>
      </w:r>
      <w:r>
        <w:rPr>
          <w:rFonts w:hint="eastAsia" w:ascii="宋体" w:hAnsi="宋体" w:eastAsia="宋体" w:cs="宋体"/>
          <w:color w:val="auto"/>
          <w:kern w:val="0"/>
          <w:szCs w:val="21"/>
          <w:highlight w:val="none"/>
          <w:lang w:val="en-US" w:eastAsia="zh-CN"/>
        </w:rPr>
        <w:t>或盖章</w:t>
      </w:r>
      <w:r>
        <w:rPr>
          <w:rFonts w:hint="eastAsia" w:ascii="宋体" w:hAnsi="宋体" w:eastAsia="宋体" w:cs="宋体"/>
          <w:color w:val="auto"/>
          <w:szCs w:val="21"/>
          <w:highlight w:val="none"/>
        </w:rPr>
        <w:t>）</w:t>
      </w:r>
      <w:r>
        <w:rPr>
          <w:rFonts w:hint="eastAsia" w:ascii="宋体" w:hAnsi="宋体" w:eastAsia="宋体" w:cs="宋体"/>
          <w:color w:val="auto"/>
          <w:kern w:val="0"/>
          <w:szCs w:val="21"/>
          <w:highlight w:val="none"/>
        </w:rPr>
        <w:t xml:space="preserve">： </w:t>
      </w:r>
    </w:p>
    <w:p w14:paraId="7EA0920E">
      <w:pPr>
        <w:keepNext w:val="0"/>
        <w:pageBreakBefore w:val="0"/>
        <w:widowControl w:val="0"/>
        <w:wordWrap w:val="0"/>
        <w:overflowPunct/>
        <w:topLinePunct w:val="0"/>
        <w:bidi w:val="0"/>
        <w:spacing w:line="460" w:lineRule="exact"/>
        <w:ind w:firstLine="420" w:firstLineChars="200"/>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全称并</w:t>
      </w:r>
      <w:r>
        <w:rPr>
          <w:rFonts w:hint="eastAsia" w:ascii="宋体" w:hAnsi="宋体" w:eastAsia="宋体" w:cs="宋体"/>
          <w:color w:val="auto"/>
          <w:kern w:val="0"/>
          <w:szCs w:val="21"/>
          <w:highlight w:val="none"/>
          <w:lang w:val="en-US" w:eastAsia="zh-CN"/>
        </w:rPr>
        <w:t>加</w:t>
      </w:r>
      <w:r>
        <w:rPr>
          <w:rFonts w:hint="eastAsia" w:ascii="宋体" w:hAnsi="宋体" w:eastAsia="宋体" w:cs="宋体"/>
          <w:color w:val="auto"/>
          <w:kern w:val="0"/>
          <w:szCs w:val="21"/>
          <w:highlight w:val="none"/>
          <w:lang w:eastAsia="zh-CN"/>
        </w:rPr>
        <w:t>盖</w:t>
      </w:r>
      <w:r>
        <w:rPr>
          <w:rFonts w:hint="eastAsia" w:ascii="宋体" w:hAnsi="宋体" w:eastAsia="宋体" w:cs="宋体"/>
          <w:color w:val="auto"/>
          <w:kern w:val="0"/>
          <w:szCs w:val="21"/>
          <w:highlight w:val="none"/>
          <w:lang w:val="en-US" w:eastAsia="zh-CN"/>
        </w:rPr>
        <w:t>公</w:t>
      </w:r>
      <w:r>
        <w:rPr>
          <w:rFonts w:hint="eastAsia" w:ascii="宋体" w:hAnsi="宋体" w:eastAsia="宋体" w:cs="宋体"/>
          <w:color w:val="auto"/>
          <w:kern w:val="0"/>
          <w:szCs w:val="21"/>
          <w:highlight w:val="none"/>
          <w:lang w:eastAsia="zh-CN"/>
        </w:rPr>
        <w:t>章</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p>
    <w:p w14:paraId="6A3FA220">
      <w:pPr>
        <w:keepNext w:val="0"/>
        <w:pageBreakBefore w:val="0"/>
        <w:widowControl w:val="0"/>
        <w:overflowPunct/>
        <w:topLinePunct w:val="0"/>
        <w:bidi w:val="0"/>
        <w:snapToGrid w:val="0"/>
        <w:spacing w:line="460" w:lineRule="exact"/>
        <w:ind w:firstLine="1260" w:firstLineChars="600"/>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xml:space="preserve">年    月   日 </w:t>
      </w:r>
    </w:p>
    <w:p w14:paraId="6540FD87">
      <w:pPr>
        <w:keepNext w:val="0"/>
        <w:pageBreakBefore w:val="0"/>
        <w:widowControl w:val="0"/>
        <w:wordWrap w:val="0"/>
        <w:overflowPunct/>
        <w:topLinePunct w:val="0"/>
        <w:bidi w:val="0"/>
        <w:snapToGrid w:val="0"/>
        <w:spacing w:before="50" w:after="50" w:line="480" w:lineRule="auto"/>
        <w:jc w:val="left"/>
        <w:rPr>
          <w:rFonts w:hint="eastAsia" w:ascii="宋体" w:hAnsi="宋体" w:eastAsia="宋体" w:cs="宋体"/>
          <w:b/>
          <w:color w:val="auto"/>
          <w:kern w:val="0"/>
          <w:sz w:val="24"/>
          <w:highlight w:val="none"/>
        </w:rPr>
      </w:pPr>
    </w:p>
    <w:p w14:paraId="3EEA7A31">
      <w:pPr>
        <w:keepNext w:val="0"/>
        <w:pageBreakBefore w:val="0"/>
        <w:widowControl w:val="0"/>
        <w:wordWrap w:val="0"/>
        <w:overflowPunct/>
        <w:topLinePunct w:val="0"/>
        <w:bidi w:val="0"/>
        <w:snapToGrid w:val="0"/>
        <w:spacing w:before="50" w:after="50" w:line="480" w:lineRule="auto"/>
        <w:jc w:val="left"/>
        <w:rPr>
          <w:rFonts w:hint="eastAsia" w:ascii="宋体" w:hAnsi="宋体" w:eastAsia="宋体" w:cs="宋体"/>
          <w:b/>
          <w:color w:val="auto"/>
          <w:kern w:val="0"/>
          <w:sz w:val="24"/>
          <w:highlight w:val="none"/>
        </w:rPr>
      </w:pPr>
    </w:p>
    <w:p w14:paraId="7D79496B">
      <w:pPr>
        <w:keepNext w:val="0"/>
        <w:pageBreakBefore w:val="0"/>
        <w:widowControl w:val="0"/>
        <w:overflowPunct/>
        <w:topLinePunct w:val="0"/>
        <w:bidi w:val="0"/>
        <w:spacing w:line="500" w:lineRule="exact"/>
        <w:jc w:val="center"/>
        <w:rPr>
          <w:rFonts w:hint="eastAsia" w:ascii="宋体" w:hAnsi="宋体" w:eastAsia="宋体" w:cs="宋体"/>
          <w:b/>
          <w:bCs/>
          <w:color w:val="auto"/>
          <w:sz w:val="24"/>
          <w:highlight w:val="none"/>
        </w:rPr>
      </w:pPr>
    </w:p>
    <w:p w14:paraId="77439107">
      <w:pPr>
        <w:keepNext w:val="0"/>
        <w:pageBreakBefore w:val="0"/>
        <w:widowControl w:val="0"/>
        <w:overflowPunct/>
        <w:topLinePunct w:val="0"/>
        <w:bidi w:val="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0A09D513">
      <w:pPr>
        <w:keepNext w:val="0"/>
        <w:pageBreakBefore w:val="0"/>
        <w:widowControl w:val="0"/>
        <w:overflowPunct/>
        <w:topLinePunct w:val="0"/>
        <w:bidi w:val="0"/>
        <w:rPr>
          <w:rFonts w:hint="eastAsia" w:ascii="宋体" w:hAnsi="宋体" w:eastAsia="宋体" w:cs="宋体"/>
          <w:color w:val="auto"/>
          <w:highlight w:val="none"/>
        </w:rPr>
      </w:pPr>
    </w:p>
    <w:p w14:paraId="12E02C04">
      <w:pPr>
        <w:pStyle w:val="5"/>
        <w:keepNext w:val="0"/>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71" w:name="_Toc7838"/>
      <w:r>
        <w:rPr>
          <w:rFonts w:hint="eastAsia" w:ascii="宋体" w:hAnsi="宋体" w:eastAsia="宋体" w:cs="宋体"/>
          <w:color w:val="auto"/>
          <w:sz w:val="28"/>
          <w:szCs w:val="28"/>
          <w:highlight w:val="none"/>
          <w:lang w:val="en-US" w:eastAsia="zh-CN"/>
        </w:rPr>
        <w:t xml:space="preserve">附件3        </w:t>
      </w:r>
      <w:bookmarkEnd w:id="71"/>
      <w:r>
        <w:rPr>
          <w:rFonts w:hint="eastAsia" w:ascii="宋体" w:hAnsi="宋体" w:eastAsia="宋体" w:cs="宋体"/>
          <w:color w:val="auto"/>
          <w:sz w:val="28"/>
          <w:szCs w:val="28"/>
          <w:highlight w:val="none"/>
          <w:lang w:val="en-US" w:eastAsia="zh-CN"/>
        </w:rPr>
        <w:t>初次报价一览表（格式）</w:t>
      </w:r>
    </w:p>
    <w:p w14:paraId="163DE47D">
      <w:pPr>
        <w:keepNext w:val="0"/>
        <w:pageBreakBefore w:val="0"/>
        <w:widowControl w:val="0"/>
        <w:overflowPunct/>
        <w:topLinePunct w:val="0"/>
        <w:bidi w:val="0"/>
        <w:spacing w:line="239" w:lineRule="auto"/>
        <w:jc w:val="right"/>
        <w:rPr>
          <w:rFonts w:hint="eastAsia" w:ascii="宋体" w:hAnsi="宋体" w:eastAsia="宋体" w:cs="宋体"/>
          <w:color w:val="auto"/>
          <w:sz w:val="24"/>
          <w:highlight w:val="none"/>
          <w:lang w:val="en-US"/>
        </w:rPr>
      </w:pPr>
      <w:r>
        <w:rPr>
          <w:rFonts w:hint="eastAsia" w:ascii="宋体" w:hAnsi="宋体" w:eastAsia="宋体" w:cs="宋体"/>
          <w:color w:val="auto"/>
          <w:sz w:val="24"/>
          <w:highlight w:val="none"/>
        </w:rPr>
        <w:t>单位：人民币</w:t>
      </w:r>
      <w:r>
        <w:rPr>
          <w:rFonts w:hint="eastAsia" w:ascii="宋体" w:hAnsi="宋体" w:eastAsia="宋体" w:cs="宋体"/>
          <w:color w:val="auto"/>
          <w:sz w:val="24"/>
          <w:highlight w:val="none"/>
          <w:lang w:val="en-US" w:eastAsia="zh-CN"/>
        </w:rPr>
        <w:t>元</w:t>
      </w:r>
    </w:p>
    <w:p w14:paraId="7731EC5A">
      <w:pPr>
        <w:keepNext w:val="0"/>
        <w:pageBreakBefore w:val="0"/>
        <w:widowControl w:val="0"/>
        <w:overflowPunct/>
        <w:topLinePunct w:val="0"/>
        <w:bidi w:val="0"/>
        <w:rPr>
          <w:rFonts w:hint="eastAsia" w:ascii="宋体" w:hAnsi="宋体" w:eastAsia="宋体" w:cs="宋体"/>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14:paraId="16E58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78" w:type="dxa"/>
            <w:noWrap/>
            <w:vAlign w:val="center"/>
          </w:tcPr>
          <w:p w14:paraId="7D35BE1C">
            <w:pPr>
              <w:keepNext w:val="0"/>
              <w:pageBreakBefore w:val="0"/>
              <w:widowControl w:val="0"/>
              <w:overflowPunct/>
              <w:topLinePunct w:val="0"/>
              <w:bidi w:val="0"/>
              <w:snapToGrid w:val="0"/>
              <w:spacing w:before="50" w:after="50"/>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项目名称</w:t>
            </w:r>
          </w:p>
        </w:tc>
        <w:tc>
          <w:tcPr>
            <w:tcW w:w="7708" w:type="dxa"/>
            <w:noWrap/>
            <w:vAlign w:val="center"/>
          </w:tcPr>
          <w:p w14:paraId="29544E6D">
            <w:pPr>
              <w:keepNext w:val="0"/>
              <w:pageBreakBefore w:val="0"/>
              <w:widowControl w:val="0"/>
              <w:overflowPunct/>
              <w:topLinePunct w:val="0"/>
              <w:bidi w:val="0"/>
              <w:rPr>
                <w:rFonts w:hint="eastAsia" w:ascii="宋体" w:hAnsi="宋体" w:eastAsia="宋体" w:cs="宋体"/>
                <w:bCs/>
                <w:color w:val="auto"/>
                <w:szCs w:val="21"/>
                <w:highlight w:val="none"/>
              </w:rPr>
            </w:pPr>
          </w:p>
        </w:tc>
      </w:tr>
      <w:tr w14:paraId="58A91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78" w:type="dxa"/>
            <w:noWrap/>
            <w:vAlign w:val="center"/>
          </w:tcPr>
          <w:p w14:paraId="61935F99">
            <w:pPr>
              <w:keepNext w:val="0"/>
              <w:pageBreakBefore w:val="0"/>
              <w:widowControl w:val="0"/>
              <w:overflowPunct/>
              <w:topLinePunct w:val="0"/>
              <w:bidi w:val="0"/>
              <w:snapToGrid w:val="0"/>
              <w:spacing w:before="50" w:after="50"/>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名称</w:t>
            </w:r>
          </w:p>
        </w:tc>
        <w:tc>
          <w:tcPr>
            <w:tcW w:w="7708" w:type="dxa"/>
            <w:noWrap/>
            <w:vAlign w:val="center"/>
          </w:tcPr>
          <w:p w14:paraId="07B627DC">
            <w:pPr>
              <w:keepNext w:val="0"/>
              <w:pageBreakBefore w:val="0"/>
              <w:widowControl w:val="0"/>
              <w:overflowPunct/>
              <w:topLinePunct w:val="0"/>
              <w:bidi w:val="0"/>
              <w:rPr>
                <w:rFonts w:hint="eastAsia" w:ascii="宋体" w:hAnsi="宋体" w:eastAsia="宋体" w:cs="宋体"/>
                <w:color w:val="auto"/>
                <w:szCs w:val="21"/>
                <w:highlight w:val="none"/>
              </w:rPr>
            </w:pPr>
          </w:p>
        </w:tc>
      </w:tr>
      <w:tr w14:paraId="362D0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78" w:type="dxa"/>
            <w:noWrap/>
            <w:vAlign w:val="center"/>
          </w:tcPr>
          <w:p w14:paraId="2A3EC86B">
            <w:pPr>
              <w:keepNext w:val="0"/>
              <w:pageBreakBefore w:val="0"/>
              <w:widowControl w:val="0"/>
              <w:overflowPunct/>
              <w:topLinePunct w:val="0"/>
              <w:bidi w:val="0"/>
              <w:jc w:val="center"/>
              <w:rPr>
                <w:rFonts w:hint="eastAsia" w:ascii="宋体" w:hAnsi="宋体" w:eastAsia="宋体" w:cs="宋体"/>
                <w:color w:val="auto"/>
                <w:spacing w:val="-20"/>
                <w:szCs w:val="21"/>
                <w:highlight w:val="none"/>
                <w:lang w:eastAsia="zh-CN"/>
              </w:rPr>
            </w:pPr>
            <w:r>
              <w:rPr>
                <w:rFonts w:hint="eastAsia" w:ascii="宋体" w:hAnsi="宋体" w:eastAsia="宋体" w:cs="宋体"/>
                <w:color w:val="auto"/>
                <w:szCs w:val="21"/>
                <w:highlight w:val="none"/>
                <w:lang w:val="en-US" w:eastAsia="zh-CN"/>
              </w:rPr>
              <w:t>磋商</w:t>
            </w:r>
            <w:r>
              <w:rPr>
                <w:rFonts w:hint="eastAsia" w:ascii="宋体" w:hAnsi="宋体" w:eastAsia="宋体" w:cs="宋体"/>
                <w:color w:val="auto"/>
                <w:szCs w:val="21"/>
                <w:highlight w:val="none"/>
              </w:rPr>
              <w:t>报价</w:t>
            </w:r>
          </w:p>
        </w:tc>
        <w:tc>
          <w:tcPr>
            <w:tcW w:w="7708" w:type="dxa"/>
            <w:noWrap/>
            <w:vAlign w:val="center"/>
          </w:tcPr>
          <w:p w14:paraId="3208326C">
            <w:pPr>
              <w:keepNext w:val="0"/>
              <w:pageBreakBefore w:val="0"/>
              <w:widowControl w:val="0"/>
              <w:overflowPunct/>
              <w:topLinePunct w:val="0"/>
              <w:bidi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大写：</w:t>
            </w:r>
            <w:r>
              <w:rPr>
                <w:rFonts w:hint="eastAsia"/>
                <w:color w:val="auto"/>
                <w:highlight w:val="none"/>
                <w:u w:val="single"/>
                <w:lang w:val="en-US" w:eastAsia="zh-CN"/>
              </w:rPr>
              <w:t xml:space="preserve">          </w:t>
            </w:r>
            <w:r>
              <w:rPr>
                <w:rFonts w:hint="eastAsia" w:ascii="宋体" w:hAnsi="宋体" w:eastAsia="宋体" w:cs="宋体"/>
                <w:color w:val="auto"/>
                <w:szCs w:val="21"/>
                <w:highlight w:val="none"/>
                <w:lang w:val="en-US" w:eastAsia="zh-CN"/>
              </w:rPr>
              <w:t xml:space="preserve">        </w:t>
            </w:r>
          </w:p>
          <w:p w14:paraId="40CA338C">
            <w:pPr>
              <w:keepNext w:val="0"/>
              <w:pageBreakBefore w:val="0"/>
              <w:widowControl w:val="0"/>
              <w:overflowPunct/>
              <w:topLinePunct w:val="0"/>
              <w:bidi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小写：</w:t>
            </w:r>
            <w:r>
              <w:rPr>
                <w:rFonts w:hint="eastAsia"/>
                <w:color w:val="auto"/>
                <w:highlight w:val="none"/>
                <w:u w:val="single"/>
                <w:lang w:val="en-US" w:eastAsia="zh-CN"/>
              </w:rPr>
              <w:t xml:space="preserve">       </w:t>
            </w:r>
            <w:r>
              <w:rPr>
                <w:rFonts w:hint="eastAsia" w:ascii="宋体" w:hAnsi="宋体" w:cs="宋体"/>
                <w:color w:val="auto"/>
                <w:sz w:val="21"/>
                <w:szCs w:val="21"/>
                <w:highlight w:val="none"/>
                <w:lang w:val="en-US" w:eastAsia="zh-CN"/>
              </w:rPr>
              <w:t>元</w:t>
            </w:r>
            <w:r>
              <w:rPr>
                <w:rFonts w:hint="eastAsia" w:ascii="宋体" w:hAnsi="宋体" w:eastAsia="宋体" w:cs="宋体"/>
                <w:color w:val="auto"/>
                <w:szCs w:val="21"/>
                <w:highlight w:val="none"/>
                <w:lang w:val="en-US" w:eastAsia="zh-CN"/>
              </w:rPr>
              <w:t>（详见报价明细表）</w:t>
            </w:r>
          </w:p>
        </w:tc>
      </w:tr>
      <w:tr w14:paraId="4A94A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78" w:type="dxa"/>
            <w:noWrap/>
            <w:vAlign w:val="center"/>
          </w:tcPr>
          <w:p w14:paraId="726D305D">
            <w:pPr>
              <w:keepNext w:val="0"/>
              <w:pageBreakBefore w:val="0"/>
              <w:widowControl w:val="0"/>
              <w:overflowPunct/>
              <w:topLinePunct w:val="0"/>
              <w:bidi w:val="0"/>
              <w:snapToGrid w:val="0"/>
              <w:spacing w:before="50" w:after="5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交货</w:t>
            </w:r>
            <w:r>
              <w:rPr>
                <w:rFonts w:hint="eastAsia" w:ascii="宋体" w:hAnsi="宋体" w:eastAsia="宋体" w:cs="宋体"/>
                <w:color w:val="auto"/>
                <w:szCs w:val="21"/>
                <w:highlight w:val="none"/>
              </w:rPr>
              <w:t>地点</w:t>
            </w:r>
          </w:p>
        </w:tc>
        <w:tc>
          <w:tcPr>
            <w:tcW w:w="7708" w:type="dxa"/>
            <w:noWrap/>
            <w:vAlign w:val="bottom"/>
          </w:tcPr>
          <w:p w14:paraId="47FD65BE">
            <w:pPr>
              <w:keepNext w:val="0"/>
              <w:pageBreakBefore w:val="0"/>
              <w:widowControl w:val="0"/>
              <w:overflowPunct/>
              <w:topLinePunct w:val="0"/>
              <w:bidi w:val="0"/>
              <w:spacing w:line="360" w:lineRule="auto"/>
              <w:ind w:firstLine="1155" w:firstLineChars="550"/>
              <w:rPr>
                <w:rFonts w:hint="eastAsia" w:ascii="宋体" w:hAnsi="宋体" w:eastAsia="宋体" w:cs="宋体"/>
                <w:color w:val="auto"/>
                <w:szCs w:val="21"/>
                <w:highlight w:val="none"/>
              </w:rPr>
            </w:pPr>
          </w:p>
        </w:tc>
      </w:tr>
      <w:tr w14:paraId="4EA91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78" w:type="dxa"/>
            <w:noWrap/>
            <w:vAlign w:val="center"/>
          </w:tcPr>
          <w:p w14:paraId="53EB6551">
            <w:pPr>
              <w:keepNext w:val="0"/>
              <w:pageBreakBefore w:val="0"/>
              <w:widowControl w:val="0"/>
              <w:overflowPunct/>
              <w:topLinePunct w:val="0"/>
              <w:bidi w:val="0"/>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交货期</w:t>
            </w:r>
          </w:p>
        </w:tc>
        <w:tc>
          <w:tcPr>
            <w:tcW w:w="7708" w:type="dxa"/>
            <w:noWrap/>
            <w:vAlign w:val="bottom"/>
          </w:tcPr>
          <w:p w14:paraId="073B5590">
            <w:pPr>
              <w:keepNext w:val="0"/>
              <w:pageBreakBefore w:val="0"/>
              <w:widowControl w:val="0"/>
              <w:overflowPunct/>
              <w:topLinePunct w:val="0"/>
              <w:bidi w:val="0"/>
              <w:spacing w:line="360" w:lineRule="auto"/>
              <w:ind w:firstLine="1155" w:firstLineChars="550"/>
              <w:rPr>
                <w:rFonts w:hint="eastAsia" w:ascii="宋体" w:hAnsi="宋体" w:eastAsia="宋体" w:cs="宋体"/>
                <w:color w:val="auto"/>
                <w:szCs w:val="21"/>
                <w:highlight w:val="none"/>
                <w:u w:val="single"/>
              </w:rPr>
            </w:pPr>
          </w:p>
        </w:tc>
      </w:tr>
      <w:tr w14:paraId="1D87B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78" w:type="dxa"/>
            <w:noWrap/>
            <w:vAlign w:val="center"/>
          </w:tcPr>
          <w:p w14:paraId="2F4DE8E1">
            <w:pPr>
              <w:keepNext w:val="0"/>
              <w:pageBreakBefore w:val="0"/>
              <w:widowControl w:val="0"/>
              <w:overflowPunct/>
              <w:topLinePunct w:val="0"/>
              <w:bidi w:val="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质量</w:t>
            </w:r>
            <w:r>
              <w:rPr>
                <w:rFonts w:hint="eastAsia" w:ascii="宋体" w:hAnsi="宋体" w:cs="宋体"/>
                <w:color w:val="auto"/>
                <w:szCs w:val="21"/>
                <w:highlight w:val="none"/>
                <w:lang w:val="en-US" w:eastAsia="zh-CN"/>
              </w:rPr>
              <w:t>要求</w:t>
            </w:r>
          </w:p>
        </w:tc>
        <w:tc>
          <w:tcPr>
            <w:tcW w:w="7708" w:type="dxa"/>
            <w:noWrap/>
            <w:vAlign w:val="bottom"/>
          </w:tcPr>
          <w:p w14:paraId="4A1BCE5B">
            <w:pPr>
              <w:keepNext w:val="0"/>
              <w:pageBreakBefore w:val="0"/>
              <w:widowControl w:val="0"/>
              <w:overflowPunct/>
              <w:topLinePunct w:val="0"/>
              <w:bidi w:val="0"/>
              <w:spacing w:line="360" w:lineRule="auto"/>
              <w:ind w:firstLine="1155" w:firstLineChars="550"/>
              <w:rPr>
                <w:rFonts w:hint="eastAsia" w:ascii="宋体" w:hAnsi="宋体" w:eastAsia="宋体" w:cs="宋体"/>
                <w:color w:val="auto"/>
                <w:szCs w:val="21"/>
                <w:highlight w:val="none"/>
                <w:u w:val="single"/>
              </w:rPr>
            </w:pPr>
          </w:p>
        </w:tc>
      </w:tr>
      <w:tr w14:paraId="57CC5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78" w:type="dxa"/>
            <w:noWrap/>
            <w:vAlign w:val="center"/>
          </w:tcPr>
          <w:p w14:paraId="491278A0">
            <w:pPr>
              <w:keepNext w:val="0"/>
              <w:pageBreakBefore w:val="0"/>
              <w:widowControl w:val="0"/>
              <w:overflowPunct/>
              <w:topLinePunct w:val="0"/>
              <w:bidi w:val="0"/>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质保期</w:t>
            </w:r>
          </w:p>
        </w:tc>
        <w:tc>
          <w:tcPr>
            <w:tcW w:w="7708" w:type="dxa"/>
            <w:noWrap/>
            <w:vAlign w:val="bottom"/>
          </w:tcPr>
          <w:p w14:paraId="7025F275">
            <w:pPr>
              <w:keepNext w:val="0"/>
              <w:pageBreakBefore w:val="0"/>
              <w:widowControl w:val="0"/>
              <w:overflowPunct/>
              <w:topLinePunct w:val="0"/>
              <w:bidi w:val="0"/>
              <w:spacing w:line="360" w:lineRule="auto"/>
              <w:ind w:firstLine="1155" w:firstLineChars="550"/>
              <w:rPr>
                <w:rFonts w:hint="eastAsia" w:ascii="宋体" w:hAnsi="宋体" w:eastAsia="宋体" w:cs="宋体"/>
                <w:color w:val="auto"/>
                <w:szCs w:val="21"/>
                <w:highlight w:val="none"/>
                <w:u w:val="single"/>
              </w:rPr>
            </w:pPr>
          </w:p>
        </w:tc>
      </w:tr>
      <w:tr w14:paraId="002FF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78" w:type="dxa"/>
            <w:noWrap/>
            <w:vAlign w:val="center"/>
          </w:tcPr>
          <w:p w14:paraId="5C47B432">
            <w:pPr>
              <w:keepNext w:val="0"/>
              <w:pageBreakBefore w:val="0"/>
              <w:widowControl w:val="0"/>
              <w:overflowPunct/>
              <w:topLinePunct w:val="0"/>
              <w:bidi w:val="0"/>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kern w:val="0"/>
                <w:szCs w:val="21"/>
                <w:highlight w:val="none"/>
                <w:lang w:val="en-US" w:eastAsia="zh-CN"/>
              </w:rPr>
              <w:t>响应文件</w:t>
            </w:r>
            <w:r>
              <w:rPr>
                <w:rFonts w:hint="eastAsia" w:ascii="宋体" w:hAnsi="宋体" w:eastAsia="宋体" w:cs="宋体"/>
                <w:color w:val="auto"/>
                <w:kern w:val="0"/>
                <w:szCs w:val="21"/>
                <w:highlight w:val="none"/>
              </w:rPr>
              <w:t>有效期</w:t>
            </w:r>
          </w:p>
        </w:tc>
        <w:tc>
          <w:tcPr>
            <w:tcW w:w="7708" w:type="dxa"/>
            <w:noWrap/>
            <w:vAlign w:val="center"/>
          </w:tcPr>
          <w:p w14:paraId="1BE2A112">
            <w:pPr>
              <w:pStyle w:val="19"/>
              <w:keepNext w:val="0"/>
              <w:pageBreakBefore w:val="0"/>
              <w:widowControl w:val="0"/>
              <w:overflowPunct/>
              <w:topLinePunct w:val="0"/>
              <w:bidi w:val="0"/>
              <w:ind w:left="0" w:leftChars="0"/>
              <w:rPr>
                <w:rFonts w:hint="eastAsia" w:ascii="宋体" w:hAnsi="宋体" w:eastAsia="宋体" w:cs="宋体"/>
                <w:color w:val="auto"/>
                <w:szCs w:val="21"/>
                <w:highlight w:val="none"/>
                <w:u w:val="single"/>
              </w:rPr>
            </w:pPr>
            <w:r>
              <w:rPr>
                <w:rFonts w:hint="eastAsia" w:ascii="宋体" w:hAnsi="宋体" w:eastAsia="宋体" w:cs="宋体"/>
                <w:color w:val="auto"/>
                <w:kern w:val="0"/>
                <w:sz w:val="21"/>
                <w:szCs w:val="21"/>
                <w:highlight w:val="none"/>
                <w:lang w:val="en-US" w:eastAsia="zh-CN" w:bidi="ar-SA"/>
              </w:rPr>
              <w:t>响应文件递交截止期结束后90日。</w:t>
            </w:r>
          </w:p>
        </w:tc>
      </w:tr>
      <w:tr w14:paraId="05430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78" w:type="dxa"/>
            <w:noWrap/>
            <w:vAlign w:val="center"/>
          </w:tcPr>
          <w:p w14:paraId="2D64A98F">
            <w:pPr>
              <w:keepNext w:val="0"/>
              <w:pageBreakBefore w:val="0"/>
              <w:widowControl w:val="0"/>
              <w:overflowPunct/>
              <w:topLinePunct w:val="0"/>
              <w:bidi w:val="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  注</w:t>
            </w:r>
          </w:p>
        </w:tc>
        <w:tc>
          <w:tcPr>
            <w:tcW w:w="7708" w:type="dxa"/>
            <w:noWrap/>
            <w:vAlign w:val="center"/>
          </w:tcPr>
          <w:p w14:paraId="0FDD4FAD">
            <w:pPr>
              <w:pStyle w:val="19"/>
              <w:keepNext w:val="0"/>
              <w:pageBreakBefore w:val="0"/>
              <w:widowControl w:val="0"/>
              <w:overflowPunct/>
              <w:topLinePunct w:val="0"/>
              <w:bidi w:val="0"/>
              <w:ind w:left="0" w:leftChars="0"/>
              <w:rPr>
                <w:rFonts w:hint="eastAsia" w:ascii="宋体" w:hAnsi="宋体" w:eastAsia="宋体" w:cs="宋体"/>
                <w:color w:val="auto"/>
                <w:sz w:val="21"/>
                <w:szCs w:val="21"/>
                <w:highlight w:val="none"/>
              </w:rPr>
            </w:pPr>
          </w:p>
        </w:tc>
      </w:tr>
    </w:tbl>
    <w:p w14:paraId="54676367">
      <w:pPr>
        <w:keepNext w:val="0"/>
        <w:pageBreakBefore w:val="0"/>
        <w:widowControl w:val="0"/>
        <w:overflowPunct/>
        <w:topLinePunct w:val="0"/>
        <w:bidi w:val="0"/>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注: 1、报价一经涂改，应在涂改处加盖单位公章或</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代表签字或盖章，否则其投标作无效标处理。</w:t>
      </w:r>
    </w:p>
    <w:p w14:paraId="6356503C">
      <w:pPr>
        <w:keepNext w:val="0"/>
        <w:pageBreakBefore w:val="0"/>
        <w:widowControl w:val="0"/>
        <w:overflowPunct/>
        <w:topLinePunct w:val="0"/>
        <w:bidi w:val="0"/>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2、以上报价应与“报价明细表”中的报价相一致。</w:t>
      </w:r>
    </w:p>
    <w:p w14:paraId="21F61DCA">
      <w:pPr>
        <w:keepNext w:val="0"/>
        <w:pageBreakBefore w:val="0"/>
        <w:widowControl w:val="0"/>
        <w:overflowPunct/>
        <w:topLinePunct w:val="0"/>
        <w:bidi w:val="0"/>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3、凡认为所投产品符合价格折扣条件的，在相应的产品的“备注”栏内注明符合何种折扣条件。</w:t>
      </w:r>
    </w:p>
    <w:p w14:paraId="0C4C1165">
      <w:pPr>
        <w:keepNext w:val="0"/>
        <w:pageBreakBefore w:val="0"/>
        <w:widowControl w:val="0"/>
        <w:overflowPunct/>
        <w:topLinePunct w:val="0"/>
        <w:bidi w:val="0"/>
        <w:spacing w:line="360" w:lineRule="auto"/>
        <w:ind w:firstLine="420" w:firstLineChars="200"/>
        <w:rPr>
          <w:rFonts w:hint="eastAsia" w:ascii="宋体" w:hAnsi="宋体" w:eastAsia="宋体" w:cs="宋体"/>
          <w:color w:val="auto"/>
          <w:highlight w:val="none"/>
        </w:rPr>
      </w:pPr>
      <w:r>
        <w:rPr>
          <w:rFonts w:hint="eastAsia" w:ascii="宋体" w:hAnsi="宋体" w:eastAsia="宋体" w:cs="宋体"/>
          <w:color w:val="auto"/>
          <w:kern w:val="0"/>
          <w:szCs w:val="21"/>
          <w:highlight w:val="none"/>
        </w:rPr>
        <w:t>4、</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按格式填列，不得自行更改。否则引起的不利后果由</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承担。</w:t>
      </w:r>
    </w:p>
    <w:p w14:paraId="0DDB8DE7">
      <w:pPr>
        <w:keepNext w:val="0"/>
        <w:pageBreakBefore w:val="0"/>
        <w:widowControl w:val="0"/>
        <w:overflowPunct/>
        <w:topLinePunct w:val="0"/>
        <w:bidi w:val="0"/>
        <w:spacing w:line="360" w:lineRule="auto"/>
        <w:ind w:firstLine="420" w:firstLineChars="200"/>
        <w:jc w:val="center"/>
        <w:rPr>
          <w:rFonts w:hint="eastAsia" w:ascii="宋体" w:hAnsi="宋体" w:eastAsia="宋体" w:cs="宋体"/>
          <w:color w:val="auto"/>
          <w:szCs w:val="21"/>
          <w:highlight w:val="none"/>
          <w:lang w:eastAsia="zh-CN"/>
        </w:rPr>
      </w:pPr>
      <w:bookmarkStart w:id="72" w:name="_Toc20877"/>
      <w:bookmarkStart w:id="73" w:name="_Toc11620"/>
    </w:p>
    <w:p w14:paraId="3A5C10C0">
      <w:pPr>
        <w:keepNext w:val="0"/>
        <w:pageBreakBefore w:val="0"/>
        <w:widowControl w:val="0"/>
        <w:overflowPunct/>
        <w:topLinePunct w:val="0"/>
        <w:bidi w:val="0"/>
        <w:spacing w:line="360" w:lineRule="auto"/>
        <w:ind w:firstLine="420" w:firstLineChars="2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（全称并加盖公章）：</w:t>
      </w:r>
      <w:bookmarkEnd w:id="72"/>
      <w:bookmarkEnd w:id="73"/>
    </w:p>
    <w:p w14:paraId="1523170F">
      <w:pPr>
        <w:keepNext w:val="0"/>
        <w:pageBreakBefore w:val="0"/>
        <w:widowControl w:val="0"/>
        <w:overflowPunct/>
        <w:topLinePunct w:val="0"/>
        <w:bidi w:val="0"/>
        <w:spacing w:line="360" w:lineRule="auto"/>
        <w:ind w:firstLine="420" w:firstLineChars="200"/>
        <w:jc w:val="center"/>
        <w:rPr>
          <w:rFonts w:hint="eastAsia" w:ascii="宋体" w:hAnsi="宋体" w:eastAsia="宋体" w:cs="宋体"/>
          <w:color w:val="auto"/>
          <w:szCs w:val="21"/>
          <w:highlight w:val="none"/>
          <w:u w:val="single"/>
        </w:rPr>
      </w:pPr>
      <w:bookmarkStart w:id="74" w:name="_Toc625"/>
      <w:bookmarkStart w:id="75" w:name="_Toc12222"/>
      <w:r>
        <w:rPr>
          <w:rFonts w:hint="eastAsia" w:ascii="宋体" w:hAnsi="宋体" w:eastAsia="宋体" w:cs="宋体"/>
          <w:color w:val="auto"/>
          <w:szCs w:val="21"/>
          <w:highlight w:val="none"/>
        </w:rPr>
        <w:t>法定代表人或委托代理人（签字</w:t>
      </w:r>
      <w:r>
        <w:rPr>
          <w:rFonts w:hint="eastAsia" w:ascii="宋体" w:hAnsi="宋体" w:eastAsia="宋体" w:cs="宋体"/>
          <w:color w:val="auto"/>
          <w:kern w:val="0"/>
          <w:szCs w:val="21"/>
          <w:highlight w:val="none"/>
          <w:lang w:val="en-US" w:eastAsia="zh-CN"/>
        </w:rPr>
        <w:t>或盖章</w:t>
      </w:r>
      <w:r>
        <w:rPr>
          <w:rFonts w:hint="eastAsia" w:ascii="宋体" w:hAnsi="宋体" w:eastAsia="宋体" w:cs="宋体"/>
          <w:color w:val="auto"/>
          <w:szCs w:val="21"/>
          <w:highlight w:val="none"/>
        </w:rPr>
        <w:t>）：</w:t>
      </w:r>
      <w:bookmarkEnd w:id="74"/>
      <w:bookmarkEnd w:id="75"/>
    </w:p>
    <w:p w14:paraId="2959E3BC">
      <w:pPr>
        <w:keepNext w:val="0"/>
        <w:pageBreakBefore w:val="0"/>
        <w:widowControl w:val="0"/>
        <w:overflowPunct/>
        <w:topLinePunct w:val="0"/>
        <w:bidi w:val="0"/>
        <w:jc w:val="center"/>
        <w:rPr>
          <w:rFonts w:hint="eastAsia" w:ascii="宋体" w:hAnsi="宋体" w:eastAsia="宋体" w:cs="宋体"/>
          <w:color w:val="auto"/>
          <w:szCs w:val="21"/>
          <w:highlight w:val="none"/>
        </w:rPr>
      </w:pPr>
    </w:p>
    <w:p w14:paraId="64AF2685">
      <w:pPr>
        <w:keepNext w:val="0"/>
        <w:pageBreakBefore w:val="0"/>
        <w:widowControl w:val="0"/>
        <w:overflowPunct/>
        <w:topLinePunct w:val="0"/>
        <w:bidi w:val="0"/>
        <w:spacing w:line="360" w:lineRule="auto"/>
        <w:ind w:firstLine="420" w:firstLineChars="200"/>
        <w:jc w:val="center"/>
        <w:rPr>
          <w:rFonts w:hint="eastAsia" w:ascii="宋体" w:hAnsi="宋体" w:eastAsia="宋体" w:cs="宋体"/>
          <w:color w:val="auto"/>
          <w:highlight w:val="none"/>
        </w:rPr>
      </w:pPr>
      <w:bookmarkStart w:id="76" w:name="_Toc1330"/>
      <w:bookmarkStart w:id="77" w:name="_Toc9950"/>
      <w:r>
        <w:rPr>
          <w:rFonts w:hint="eastAsia" w:ascii="宋体" w:hAnsi="宋体" w:eastAsia="宋体" w:cs="宋体"/>
          <w:color w:val="auto"/>
          <w:szCs w:val="21"/>
          <w:highlight w:val="none"/>
        </w:rPr>
        <w:t>年  月  日</w:t>
      </w:r>
      <w:bookmarkEnd w:id="76"/>
      <w:bookmarkEnd w:id="77"/>
    </w:p>
    <w:p w14:paraId="75AF52ED">
      <w:pPr>
        <w:keepNext w:val="0"/>
        <w:pageBreakBefore w:val="0"/>
        <w:widowControl w:val="0"/>
        <w:overflowPunct/>
        <w:topLinePunct w:val="0"/>
        <w:bidi w:val="0"/>
        <w:rPr>
          <w:rFonts w:hint="eastAsia" w:ascii="宋体" w:hAnsi="宋体" w:eastAsia="宋体" w:cs="宋体"/>
          <w:color w:val="auto"/>
          <w:highlight w:val="none"/>
        </w:rPr>
      </w:pPr>
    </w:p>
    <w:bookmarkEnd w:id="52"/>
    <w:bookmarkEnd w:id="53"/>
    <w:p w14:paraId="32162F70">
      <w:pPr>
        <w:keepNext w:val="0"/>
        <w:pageBreakBefore w:val="0"/>
        <w:widowControl w:val="0"/>
        <w:overflowPunct/>
        <w:topLinePunct w:val="0"/>
        <w:bidi w:val="0"/>
        <w:spacing w:before="20" w:after="20"/>
        <w:outlineLvl w:val="9"/>
        <w:rPr>
          <w:rFonts w:hint="eastAsia" w:ascii="宋体" w:hAnsi="宋体" w:eastAsia="宋体" w:cs="宋体"/>
          <w:color w:val="auto"/>
          <w:highlight w:val="none"/>
          <w:lang w:eastAsia="zh-CN"/>
        </w:rPr>
      </w:pPr>
      <w:bookmarkStart w:id="78" w:name="_Toc24984"/>
      <w:bookmarkStart w:id="79" w:name="_Toc22004"/>
    </w:p>
    <w:p w14:paraId="35B35CE5">
      <w:pPr>
        <w:keepNext w:val="0"/>
        <w:pageBreakBefore w:val="0"/>
        <w:widowControl w:val="0"/>
        <w:overflowPunct/>
        <w:topLinePunct w:val="0"/>
        <w:bidi w:val="0"/>
        <w:outlineLvl w:val="9"/>
        <w:rPr>
          <w:rFonts w:hint="eastAsia" w:ascii="宋体" w:hAnsi="宋体" w:eastAsia="宋体" w:cs="宋体"/>
          <w:color w:val="auto"/>
          <w:highlight w:val="none"/>
          <w:lang w:eastAsia="zh-CN"/>
        </w:rPr>
      </w:pPr>
    </w:p>
    <w:p w14:paraId="55668C71">
      <w:pPr>
        <w:keepNext w:val="0"/>
        <w:pageBreakBefore w:val="0"/>
        <w:widowControl w:val="0"/>
        <w:overflowPunct/>
        <w:topLinePunct w:val="0"/>
        <w:bidi w:val="0"/>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3A621A8C">
      <w:pPr>
        <w:pStyle w:val="5"/>
        <w:keepNext w:val="0"/>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 xml:space="preserve">附件4        </w:t>
      </w:r>
      <w:bookmarkEnd w:id="78"/>
      <w:bookmarkEnd w:id="79"/>
      <w:r>
        <w:rPr>
          <w:rFonts w:hint="eastAsia" w:ascii="宋体" w:hAnsi="宋体" w:eastAsia="宋体" w:cs="宋体"/>
          <w:color w:val="auto"/>
          <w:sz w:val="28"/>
          <w:szCs w:val="28"/>
          <w:highlight w:val="none"/>
          <w:lang w:val="en-US" w:eastAsia="zh-CN"/>
        </w:rPr>
        <w:t>报价明细表（格式）</w:t>
      </w:r>
    </w:p>
    <w:p w14:paraId="79C39A44">
      <w:pPr>
        <w:keepNext w:val="0"/>
        <w:pageBreakBefore w:val="0"/>
        <w:widowControl w:val="0"/>
        <w:overflowPunct/>
        <w:topLinePunct w:val="0"/>
        <w:bidi w:val="0"/>
        <w:jc w:val="right"/>
        <w:rPr>
          <w:rFonts w:hint="eastAsia"/>
          <w:color w:val="auto"/>
          <w:highlight w:val="none"/>
          <w:lang w:val="en-US" w:eastAsia="zh-CN"/>
        </w:rPr>
      </w:pPr>
      <w:r>
        <w:rPr>
          <w:rFonts w:hint="eastAsia" w:ascii="宋体" w:hAnsi="宋体" w:cs="宋体"/>
          <w:color w:val="auto"/>
          <w:kern w:val="0"/>
          <w:sz w:val="24"/>
          <w:highlight w:val="none"/>
        </w:rPr>
        <w:t>金额单位：人民币（元）</w:t>
      </w:r>
    </w:p>
    <w:tbl>
      <w:tblPr>
        <w:tblStyle w:val="32"/>
        <w:tblpPr w:leftFromText="180" w:rightFromText="180" w:vertAnchor="text" w:horzAnchor="page" w:tblpX="1095" w:tblpY="449"/>
        <w:tblOverlap w:val="never"/>
        <w:tblW w:w="98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43"/>
        <w:gridCol w:w="2097"/>
        <w:gridCol w:w="1424"/>
        <w:gridCol w:w="1424"/>
        <w:gridCol w:w="1447"/>
        <w:gridCol w:w="822"/>
        <w:gridCol w:w="883"/>
        <w:gridCol w:w="1140"/>
      </w:tblGrid>
      <w:tr w14:paraId="2BBD96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trPr>
        <w:tc>
          <w:tcPr>
            <w:tcW w:w="643" w:type="dxa"/>
            <w:tcBorders>
              <w:top w:val="single" w:color="auto" w:sz="4" w:space="0"/>
              <w:left w:val="single" w:color="auto" w:sz="4" w:space="0"/>
              <w:bottom w:val="nil"/>
              <w:right w:val="single" w:color="auto" w:sz="4" w:space="0"/>
            </w:tcBorders>
            <w:vAlign w:val="center"/>
          </w:tcPr>
          <w:p w14:paraId="23CD560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r>
              <w:rPr>
                <w:rFonts w:hint="eastAsia" w:ascii="宋体" w:hAnsi="宋体" w:cs="宋体"/>
                <w:color w:val="auto"/>
                <w:kern w:val="0"/>
                <w:sz w:val="24"/>
                <w:highlight w:val="none"/>
              </w:rPr>
              <w:t>序号</w:t>
            </w:r>
          </w:p>
        </w:tc>
        <w:tc>
          <w:tcPr>
            <w:tcW w:w="2097" w:type="dxa"/>
            <w:tcBorders>
              <w:top w:val="single" w:color="auto" w:sz="4" w:space="0"/>
              <w:left w:val="single" w:color="auto" w:sz="4" w:space="0"/>
              <w:bottom w:val="nil"/>
              <w:right w:val="single" w:color="auto" w:sz="4" w:space="0"/>
            </w:tcBorders>
            <w:vAlign w:val="center"/>
          </w:tcPr>
          <w:p w14:paraId="35F967A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auto"/>
                <w:spacing w:val="20"/>
                <w:kern w:val="0"/>
                <w:sz w:val="24"/>
                <w:szCs w:val="24"/>
                <w:highlight w:val="none"/>
                <w:lang w:val="en-US" w:eastAsia="zh-CN" w:bidi="ar-SA"/>
              </w:rPr>
            </w:pPr>
            <w:r>
              <w:rPr>
                <w:rFonts w:hint="eastAsia" w:ascii="宋体" w:hAnsi="宋体" w:cs="宋体"/>
                <w:color w:val="auto"/>
                <w:spacing w:val="20"/>
                <w:kern w:val="0"/>
                <w:sz w:val="24"/>
                <w:szCs w:val="24"/>
                <w:highlight w:val="none"/>
                <w:lang w:val="en-US" w:eastAsia="zh-CN" w:bidi="ar-SA"/>
              </w:rPr>
              <w:t>货物</w:t>
            </w:r>
            <w:r>
              <w:rPr>
                <w:rFonts w:hint="eastAsia" w:ascii="宋体" w:hAnsi="宋体" w:eastAsia="宋体" w:cs="宋体"/>
                <w:color w:val="auto"/>
                <w:spacing w:val="20"/>
                <w:kern w:val="0"/>
                <w:sz w:val="24"/>
                <w:szCs w:val="24"/>
                <w:highlight w:val="none"/>
                <w:lang w:val="en-US" w:eastAsia="zh-CN" w:bidi="ar-SA"/>
              </w:rPr>
              <w:t>名称</w:t>
            </w:r>
          </w:p>
        </w:tc>
        <w:tc>
          <w:tcPr>
            <w:tcW w:w="1424" w:type="dxa"/>
            <w:tcBorders>
              <w:top w:val="single" w:color="auto" w:sz="4" w:space="0"/>
              <w:left w:val="single" w:color="auto" w:sz="4" w:space="0"/>
              <w:bottom w:val="nil"/>
              <w:right w:val="single" w:color="auto" w:sz="4" w:space="0"/>
            </w:tcBorders>
            <w:vAlign w:val="center"/>
          </w:tcPr>
          <w:p w14:paraId="56A6865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cs="宋体"/>
                <w:color w:val="auto"/>
                <w:spacing w:val="20"/>
                <w:kern w:val="0"/>
                <w:sz w:val="24"/>
                <w:szCs w:val="24"/>
                <w:highlight w:val="none"/>
                <w:lang w:val="en-US" w:eastAsia="zh-CN" w:bidi="ar-SA"/>
              </w:rPr>
            </w:pPr>
            <w:r>
              <w:rPr>
                <w:rFonts w:hint="eastAsia" w:ascii="宋体" w:hAnsi="宋体" w:cs="宋体"/>
                <w:color w:val="auto"/>
                <w:spacing w:val="20"/>
                <w:kern w:val="0"/>
                <w:sz w:val="24"/>
                <w:szCs w:val="24"/>
                <w:highlight w:val="none"/>
                <w:lang w:val="en-US" w:eastAsia="zh-CN" w:bidi="ar-SA"/>
              </w:rPr>
              <w:t>品牌</w:t>
            </w:r>
          </w:p>
        </w:tc>
        <w:tc>
          <w:tcPr>
            <w:tcW w:w="1424" w:type="dxa"/>
            <w:tcBorders>
              <w:top w:val="single" w:color="auto" w:sz="4" w:space="0"/>
              <w:left w:val="single" w:color="auto" w:sz="4" w:space="0"/>
              <w:bottom w:val="nil"/>
              <w:right w:val="single" w:color="auto" w:sz="4" w:space="0"/>
            </w:tcBorders>
            <w:vAlign w:val="center"/>
          </w:tcPr>
          <w:p w14:paraId="167BD12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auto"/>
                <w:spacing w:val="20"/>
                <w:kern w:val="0"/>
                <w:sz w:val="24"/>
                <w:szCs w:val="24"/>
                <w:highlight w:val="none"/>
                <w:lang w:val="en-US" w:eastAsia="zh-CN" w:bidi="ar-SA"/>
              </w:rPr>
            </w:pPr>
            <w:r>
              <w:rPr>
                <w:rFonts w:hint="eastAsia" w:ascii="宋体" w:hAnsi="宋体" w:cs="宋体"/>
                <w:color w:val="auto"/>
                <w:spacing w:val="20"/>
                <w:kern w:val="0"/>
                <w:sz w:val="24"/>
                <w:szCs w:val="24"/>
                <w:highlight w:val="none"/>
                <w:lang w:val="en-US" w:eastAsia="zh-CN" w:bidi="ar-SA"/>
              </w:rPr>
              <w:t>规格型号</w:t>
            </w:r>
          </w:p>
        </w:tc>
        <w:tc>
          <w:tcPr>
            <w:tcW w:w="1447" w:type="dxa"/>
            <w:tcBorders>
              <w:top w:val="single" w:color="auto" w:sz="4" w:space="0"/>
              <w:left w:val="single" w:color="auto" w:sz="4" w:space="0"/>
              <w:bottom w:val="nil"/>
              <w:right w:val="single" w:color="auto" w:sz="4" w:space="0"/>
            </w:tcBorders>
            <w:vAlign w:val="center"/>
          </w:tcPr>
          <w:p w14:paraId="2F8829F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产地</w:t>
            </w:r>
          </w:p>
        </w:tc>
        <w:tc>
          <w:tcPr>
            <w:tcW w:w="822" w:type="dxa"/>
            <w:tcBorders>
              <w:top w:val="single" w:color="auto" w:sz="4" w:space="0"/>
              <w:left w:val="single" w:color="auto" w:sz="4" w:space="0"/>
              <w:bottom w:val="nil"/>
              <w:right w:val="single" w:color="auto" w:sz="4" w:space="0"/>
            </w:tcBorders>
            <w:vAlign w:val="center"/>
          </w:tcPr>
          <w:p w14:paraId="1FF9425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auto"/>
                <w:spacing w:val="20"/>
                <w:kern w:val="0"/>
                <w:sz w:val="24"/>
                <w:szCs w:val="24"/>
                <w:highlight w:val="none"/>
                <w:lang w:val="en-US" w:eastAsia="zh-CN" w:bidi="ar-SA"/>
              </w:rPr>
            </w:pPr>
            <w:r>
              <w:rPr>
                <w:rFonts w:hint="eastAsia" w:ascii="宋体" w:hAnsi="宋体" w:cs="宋体"/>
                <w:color w:val="auto"/>
                <w:kern w:val="0"/>
                <w:sz w:val="24"/>
                <w:highlight w:val="none"/>
              </w:rPr>
              <w:t>数量</w:t>
            </w:r>
          </w:p>
        </w:tc>
        <w:tc>
          <w:tcPr>
            <w:tcW w:w="883" w:type="dxa"/>
            <w:tcBorders>
              <w:top w:val="single" w:color="auto" w:sz="4" w:space="0"/>
              <w:left w:val="single" w:color="auto" w:sz="4" w:space="0"/>
              <w:bottom w:val="nil"/>
              <w:right w:val="single" w:color="auto" w:sz="4" w:space="0"/>
            </w:tcBorders>
            <w:vAlign w:val="center"/>
          </w:tcPr>
          <w:p w14:paraId="0B4F6AE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eastAsia="宋体" w:cs="宋体"/>
                <w:color w:val="auto"/>
                <w:spacing w:val="20"/>
                <w:kern w:val="0"/>
                <w:sz w:val="24"/>
                <w:szCs w:val="24"/>
                <w:highlight w:val="none"/>
                <w:lang w:val="en-US" w:eastAsia="zh-CN" w:bidi="ar-SA"/>
              </w:rPr>
            </w:pPr>
            <w:r>
              <w:rPr>
                <w:rFonts w:hint="eastAsia" w:ascii="宋体" w:hAnsi="宋体" w:cs="宋体"/>
                <w:color w:val="auto"/>
                <w:kern w:val="0"/>
                <w:sz w:val="24"/>
                <w:highlight w:val="none"/>
              </w:rPr>
              <w:t>单价</w:t>
            </w:r>
          </w:p>
        </w:tc>
        <w:tc>
          <w:tcPr>
            <w:tcW w:w="1140" w:type="dxa"/>
            <w:tcBorders>
              <w:top w:val="single" w:color="auto" w:sz="4" w:space="0"/>
              <w:left w:val="single" w:color="auto" w:sz="4" w:space="0"/>
              <w:bottom w:val="nil"/>
              <w:right w:val="single" w:color="auto" w:sz="4" w:space="0"/>
            </w:tcBorders>
            <w:vAlign w:val="center"/>
          </w:tcPr>
          <w:p w14:paraId="5851C90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auto"/>
                <w:spacing w:val="20"/>
                <w:kern w:val="0"/>
                <w:sz w:val="24"/>
                <w:szCs w:val="24"/>
                <w:highlight w:val="none"/>
                <w:lang w:val="en-US" w:eastAsia="zh-CN" w:bidi="ar-SA"/>
              </w:rPr>
            </w:pPr>
            <w:r>
              <w:rPr>
                <w:rFonts w:hint="eastAsia" w:ascii="宋体" w:hAnsi="宋体" w:cs="宋体"/>
                <w:color w:val="auto"/>
                <w:spacing w:val="20"/>
                <w:kern w:val="0"/>
                <w:sz w:val="24"/>
                <w:highlight w:val="none"/>
                <w:lang w:val="en-US" w:eastAsia="zh-CN"/>
              </w:rPr>
              <w:t>总价</w:t>
            </w:r>
          </w:p>
        </w:tc>
      </w:tr>
      <w:tr w14:paraId="054DAE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2DC84D2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lang w:val="en-US" w:eastAsia="zh-CN"/>
              </w:rPr>
              <w:t>1</w:t>
            </w:r>
          </w:p>
        </w:tc>
        <w:tc>
          <w:tcPr>
            <w:tcW w:w="2097" w:type="dxa"/>
            <w:tcBorders>
              <w:top w:val="single" w:color="auto" w:sz="4" w:space="0"/>
              <w:left w:val="single" w:color="auto" w:sz="4" w:space="0"/>
              <w:bottom w:val="single" w:color="auto" w:sz="4" w:space="0"/>
              <w:right w:val="single" w:color="auto" w:sz="4" w:space="0"/>
            </w:tcBorders>
          </w:tcPr>
          <w:p w14:paraId="19B6335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24" w:type="dxa"/>
            <w:tcBorders>
              <w:top w:val="single" w:color="auto" w:sz="4" w:space="0"/>
              <w:left w:val="single" w:color="auto" w:sz="4" w:space="0"/>
              <w:bottom w:val="single" w:color="auto" w:sz="4" w:space="0"/>
              <w:right w:val="single" w:color="auto" w:sz="4" w:space="0"/>
            </w:tcBorders>
          </w:tcPr>
          <w:p w14:paraId="7C83A218">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24" w:type="dxa"/>
            <w:tcBorders>
              <w:top w:val="single" w:color="auto" w:sz="4" w:space="0"/>
              <w:left w:val="single" w:color="auto" w:sz="4" w:space="0"/>
              <w:bottom w:val="single" w:color="auto" w:sz="4" w:space="0"/>
              <w:right w:val="single" w:color="auto" w:sz="4" w:space="0"/>
            </w:tcBorders>
          </w:tcPr>
          <w:p w14:paraId="5F75B6C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47" w:type="dxa"/>
            <w:tcBorders>
              <w:top w:val="single" w:color="auto" w:sz="4" w:space="0"/>
              <w:left w:val="single" w:color="auto" w:sz="4" w:space="0"/>
              <w:bottom w:val="single" w:color="auto" w:sz="4" w:space="0"/>
              <w:right w:val="single" w:color="auto" w:sz="4" w:space="0"/>
            </w:tcBorders>
          </w:tcPr>
          <w:p w14:paraId="03547A6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822" w:type="dxa"/>
            <w:tcBorders>
              <w:top w:val="single" w:color="auto" w:sz="4" w:space="0"/>
              <w:left w:val="single" w:color="auto" w:sz="4" w:space="0"/>
              <w:bottom w:val="single" w:color="auto" w:sz="4" w:space="0"/>
              <w:right w:val="single" w:color="auto" w:sz="4" w:space="0"/>
            </w:tcBorders>
          </w:tcPr>
          <w:p w14:paraId="7159B41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883" w:type="dxa"/>
            <w:tcBorders>
              <w:top w:val="single" w:color="auto" w:sz="4" w:space="0"/>
              <w:left w:val="single" w:color="auto" w:sz="4" w:space="0"/>
              <w:bottom w:val="single" w:color="auto" w:sz="4" w:space="0"/>
              <w:right w:val="single" w:color="auto" w:sz="4" w:space="0"/>
            </w:tcBorders>
          </w:tcPr>
          <w:p w14:paraId="7455F46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140" w:type="dxa"/>
            <w:tcBorders>
              <w:top w:val="single" w:color="auto" w:sz="4" w:space="0"/>
              <w:left w:val="single" w:color="auto" w:sz="4" w:space="0"/>
              <w:bottom w:val="single" w:color="auto" w:sz="4" w:space="0"/>
              <w:right w:val="single" w:color="auto" w:sz="4" w:space="0"/>
            </w:tcBorders>
          </w:tcPr>
          <w:p w14:paraId="4C86F15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r>
      <w:tr w14:paraId="65ED6A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4292D84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lang w:val="en-US" w:eastAsia="zh-CN"/>
              </w:rPr>
              <w:t>2</w:t>
            </w:r>
          </w:p>
        </w:tc>
        <w:tc>
          <w:tcPr>
            <w:tcW w:w="2097" w:type="dxa"/>
            <w:tcBorders>
              <w:top w:val="single" w:color="auto" w:sz="4" w:space="0"/>
              <w:left w:val="single" w:color="auto" w:sz="4" w:space="0"/>
              <w:bottom w:val="single" w:color="auto" w:sz="4" w:space="0"/>
              <w:right w:val="single" w:color="auto" w:sz="4" w:space="0"/>
            </w:tcBorders>
          </w:tcPr>
          <w:p w14:paraId="6C447B7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24" w:type="dxa"/>
            <w:tcBorders>
              <w:top w:val="single" w:color="auto" w:sz="4" w:space="0"/>
              <w:left w:val="single" w:color="auto" w:sz="4" w:space="0"/>
              <w:bottom w:val="single" w:color="auto" w:sz="4" w:space="0"/>
              <w:right w:val="single" w:color="auto" w:sz="4" w:space="0"/>
            </w:tcBorders>
          </w:tcPr>
          <w:p w14:paraId="0AA465D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24" w:type="dxa"/>
            <w:tcBorders>
              <w:top w:val="single" w:color="auto" w:sz="4" w:space="0"/>
              <w:left w:val="single" w:color="auto" w:sz="4" w:space="0"/>
              <w:bottom w:val="single" w:color="auto" w:sz="4" w:space="0"/>
              <w:right w:val="single" w:color="auto" w:sz="4" w:space="0"/>
            </w:tcBorders>
          </w:tcPr>
          <w:p w14:paraId="4DAE3569">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47" w:type="dxa"/>
            <w:tcBorders>
              <w:top w:val="single" w:color="auto" w:sz="4" w:space="0"/>
              <w:left w:val="single" w:color="auto" w:sz="4" w:space="0"/>
              <w:bottom w:val="single" w:color="auto" w:sz="4" w:space="0"/>
              <w:right w:val="single" w:color="auto" w:sz="4" w:space="0"/>
            </w:tcBorders>
          </w:tcPr>
          <w:p w14:paraId="6FFBF9B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822" w:type="dxa"/>
            <w:tcBorders>
              <w:top w:val="single" w:color="auto" w:sz="4" w:space="0"/>
              <w:left w:val="single" w:color="auto" w:sz="4" w:space="0"/>
              <w:bottom w:val="single" w:color="auto" w:sz="4" w:space="0"/>
              <w:right w:val="single" w:color="auto" w:sz="4" w:space="0"/>
            </w:tcBorders>
          </w:tcPr>
          <w:p w14:paraId="7436C54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883" w:type="dxa"/>
            <w:tcBorders>
              <w:top w:val="single" w:color="auto" w:sz="4" w:space="0"/>
              <w:left w:val="single" w:color="auto" w:sz="4" w:space="0"/>
              <w:bottom w:val="single" w:color="auto" w:sz="4" w:space="0"/>
              <w:right w:val="single" w:color="auto" w:sz="4" w:space="0"/>
            </w:tcBorders>
          </w:tcPr>
          <w:p w14:paraId="075F8C2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140" w:type="dxa"/>
            <w:tcBorders>
              <w:top w:val="single" w:color="auto" w:sz="4" w:space="0"/>
              <w:left w:val="single" w:color="auto" w:sz="4" w:space="0"/>
              <w:bottom w:val="single" w:color="auto" w:sz="4" w:space="0"/>
              <w:right w:val="single" w:color="auto" w:sz="4" w:space="0"/>
            </w:tcBorders>
          </w:tcPr>
          <w:p w14:paraId="3FD6CFA5">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r>
      <w:tr w14:paraId="6AA957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6289693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lang w:val="en-US" w:eastAsia="zh-CN"/>
              </w:rPr>
              <w:t>3</w:t>
            </w:r>
          </w:p>
        </w:tc>
        <w:tc>
          <w:tcPr>
            <w:tcW w:w="2097" w:type="dxa"/>
            <w:tcBorders>
              <w:top w:val="single" w:color="auto" w:sz="4" w:space="0"/>
              <w:left w:val="single" w:color="auto" w:sz="4" w:space="0"/>
              <w:bottom w:val="single" w:color="auto" w:sz="4" w:space="0"/>
              <w:right w:val="single" w:color="auto" w:sz="4" w:space="0"/>
            </w:tcBorders>
          </w:tcPr>
          <w:p w14:paraId="281AD93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24" w:type="dxa"/>
            <w:tcBorders>
              <w:top w:val="single" w:color="auto" w:sz="4" w:space="0"/>
              <w:left w:val="single" w:color="auto" w:sz="4" w:space="0"/>
              <w:bottom w:val="single" w:color="auto" w:sz="4" w:space="0"/>
              <w:right w:val="single" w:color="auto" w:sz="4" w:space="0"/>
            </w:tcBorders>
          </w:tcPr>
          <w:p w14:paraId="596A8A6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24" w:type="dxa"/>
            <w:tcBorders>
              <w:top w:val="single" w:color="auto" w:sz="4" w:space="0"/>
              <w:left w:val="single" w:color="auto" w:sz="4" w:space="0"/>
              <w:bottom w:val="single" w:color="auto" w:sz="4" w:space="0"/>
              <w:right w:val="single" w:color="auto" w:sz="4" w:space="0"/>
            </w:tcBorders>
          </w:tcPr>
          <w:p w14:paraId="7155848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47" w:type="dxa"/>
            <w:tcBorders>
              <w:top w:val="single" w:color="auto" w:sz="4" w:space="0"/>
              <w:left w:val="single" w:color="auto" w:sz="4" w:space="0"/>
              <w:bottom w:val="single" w:color="auto" w:sz="4" w:space="0"/>
              <w:right w:val="single" w:color="auto" w:sz="4" w:space="0"/>
            </w:tcBorders>
          </w:tcPr>
          <w:p w14:paraId="7CCFC401">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822" w:type="dxa"/>
            <w:tcBorders>
              <w:top w:val="single" w:color="auto" w:sz="4" w:space="0"/>
              <w:left w:val="single" w:color="auto" w:sz="4" w:space="0"/>
              <w:bottom w:val="single" w:color="auto" w:sz="4" w:space="0"/>
              <w:right w:val="single" w:color="auto" w:sz="4" w:space="0"/>
            </w:tcBorders>
          </w:tcPr>
          <w:p w14:paraId="54546C5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883" w:type="dxa"/>
            <w:tcBorders>
              <w:top w:val="single" w:color="auto" w:sz="4" w:space="0"/>
              <w:left w:val="single" w:color="auto" w:sz="4" w:space="0"/>
              <w:bottom w:val="single" w:color="auto" w:sz="4" w:space="0"/>
              <w:right w:val="single" w:color="auto" w:sz="4" w:space="0"/>
            </w:tcBorders>
          </w:tcPr>
          <w:p w14:paraId="3C2FEFF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140" w:type="dxa"/>
            <w:tcBorders>
              <w:top w:val="single" w:color="auto" w:sz="4" w:space="0"/>
              <w:left w:val="single" w:color="auto" w:sz="4" w:space="0"/>
              <w:bottom w:val="single" w:color="auto" w:sz="4" w:space="0"/>
              <w:right w:val="single" w:color="auto" w:sz="4" w:space="0"/>
            </w:tcBorders>
          </w:tcPr>
          <w:p w14:paraId="3D4F863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r>
      <w:tr w14:paraId="345B6F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3CE3008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lang w:val="en-US" w:eastAsia="zh-CN"/>
              </w:rPr>
              <w:t>4</w:t>
            </w:r>
          </w:p>
        </w:tc>
        <w:tc>
          <w:tcPr>
            <w:tcW w:w="2097" w:type="dxa"/>
            <w:tcBorders>
              <w:top w:val="single" w:color="auto" w:sz="4" w:space="0"/>
              <w:left w:val="single" w:color="auto" w:sz="4" w:space="0"/>
              <w:bottom w:val="single" w:color="auto" w:sz="4" w:space="0"/>
              <w:right w:val="single" w:color="auto" w:sz="4" w:space="0"/>
            </w:tcBorders>
          </w:tcPr>
          <w:p w14:paraId="010B336A">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24" w:type="dxa"/>
            <w:tcBorders>
              <w:top w:val="single" w:color="auto" w:sz="4" w:space="0"/>
              <w:left w:val="single" w:color="auto" w:sz="4" w:space="0"/>
              <w:bottom w:val="single" w:color="auto" w:sz="4" w:space="0"/>
              <w:right w:val="single" w:color="auto" w:sz="4" w:space="0"/>
            </w:tcBorders>
          </w:tcPr>
          <w:p w14:paraId="5F69285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24" w:type="dxa"/>
            <w:tcBorders>
              <w:top w:val="single" w:color="auto" w:sz="4" w:space="0"/>
              <w:left w:val="single" w:color="auto" w:sz="4" w:space="0"/>
              <w:bottom w:val="single" w:color="auto" w:sz="4" w:space="0"/>
              <w:right w:val="single" w:color="auto" w:sz="4" w:space="0"/>
            </w:tcBorders>
          </w:tcPr>
          <w:p w14:paraId="7A00479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47" w:type="dxa"/>
            <w:tcBorders>
              <w:top w:val="single" w:color="auto" w:sz="4" w:space="0"/>
              <w:left w:val="single" w:color="auto" w:sz="4" w:space="0"/>
              <w:bottom w:val="single" w:color="auto" w:sz="4" w:space="0"/>
              <w:right w:val="single" w:color="auto" w:sz="4" w:space="0"/>
            </w:tcBorders>
          </w:tcPr>
          <w:p w14:paraId="6D3EAF1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822" w:type="dxa"/>
            <w:tcBorders>
              <w:top w:val="single" w:color="auto" w:sz="4" w:space="0"/>
              <w:left w:val="single" w:color="auto" w:sz="4" w:space="0"/>
              <w:bottom w:val="single" w:color="auto" w:sz="4" w:space="0"/>
              <w:right w:val="single" w:color="auto" w:sz="4" w:space="0"/>
            </w:tcBorders>
          </w:tcPr>
          <w:p w14:paraId="1B24D3CF">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883" w:type="dxa"/>
            <w:tcBorders>
              <w:top w:val="single" w:color="auto" w:sz="4" w:space="0"/>
              <w:left w:val="single" w:color="auto" w:sz="4" w:space="0"/>
              <w:bottom w:val="single" w:color="auto" w:sz="4" w:space="0"/>
              <w:right w:val="single" w:color="auto" w:sz="4" w:space="0"/>
            </w:tcBorders>
          </w:tcPr>
          <w:p w14:paraId="75F340B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140" w:type="dxa"/>
            <w:tcBorders>
              <w:top w:val="single" w:color="auto" w:sz="4" w:space="0"/>
              <w:left w:val="single" w:color="auto" w:sz="4" w:space="0"/>
              <w:bottom w:val="single" w:color="auto" w:sz="4" w:space="0"/>
              <w:right w:val="single" w:color="auto" w:sz="4" w:space="0"/>
            </w:tcBorders>
          </w:tcPr>
          <w:p w14:paraId="4D274CE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r>
      <w:tr w14:paraId="1A885E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03266D93">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2097" w:type="dxa"/>
            <w:tcBorders>
              <w:top w:val="single" w:color="auto" w:sz="4" w:space="0"/>
              <w:left w:val="single" w:color="auto" w:sz="4" w:space="0"/>
              <w:bottom w:val="single" w:color="auto" w:sz="4" w:space="0"/>
              <w:right w:val="single" w:color="auto" w:sz="4" w:space="0"/>
            </w:tcBorders>
          </w:tcPr>
          <w:p w14:paraId="20F82DC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24" w:type="dxa"/>
            <w:tcBorders>
              <w:top w:val="single" w:color="auto" w:sz="4" w:space="0"/>
              <w:left w:val="single" w:color="auto" w:sz="4" w:space="0"/>
              <w:bottom w:val="single" w:color="auto" w:sz="4" w:space="0"/>
              <w:right w:val="single" w:color="auto" w:sz="4" w:space="0"/>
            </w:tcBorders>
          </w:tcPr>
          <w:p w14:paraId="037C8784">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24" w:type="dxa"/>
            <w:tcBorders>
              <w:top w:val="single" w:color="auto" w:sz="4" w:space="0"/>
              <w:left w:val="single" w:color="auto" w:sz="4" w:space="0"/>
              <w:bottom w:val="single" w:color="auto" w:sz="4" w:space="0"/>
              <w:right w:val="single" w:color="auto" w:sz="4" w:space="0"/>
            </w:tcBorders>
          </w:tcPr>
          <w:p w14:paraId="3A2E97A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47" w:type="dxa"/>
            <w:tcBorders>
              <w:top w:val="single" w:color="auto" w:sz="4" w:space="0"/>
              <w:left w:val="single" w:color="auto" w:sz="4" w:space="0"/>
              <w:bottom w:val="single" w:color="auto" w:sz="4" w:space="0"/>
              <w:right w:val="single" w:color="auto" w:sz="4" w:space="0"/>
            </w:tcBorders>
          </w:tcPr>
          <w:p w14:paraId="467ADA76">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822" w:type="dxa"/>
            <w:tcBorders>
              <w:top w:val="single" w:color="auto" w:sz="4" w:space="0"/>
              <w:left w:val="single" w:color="auto" w:sz="4" w:space="0"/>
              <w:bottom w:val="single" w:color="auto" w:sz="4" w:space="0"/>
              <w:right w:val="single" w:color="auto" w:sz="4" w:space="0"/>
            </w:tcBorders>
          </w:tcPr>
          <w:p w14:paraId="36DF32D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883" w:type="dxa"/>
            <w:tcBorders>
              <w:top w:val="single" w:color="auto" w:sz="4" w:space="0"/>
              <w:left w:val="single" w:color="auto" w:sz="4" w:space="0"/>
              <w:bottom w:val="single" w:color="auto" w:sz="4" w:space="0"/>
              <w:right w:val="single" w:color="auto" w:sz="4" w:space="0"/>
            </w:tcBorders>
          </w:tcPr>
          <w:p w14:paraId="51E1A68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140" w:type="dxa"/>
            <w:tcBorders>
              <w:top w:val="single" w:color="auto" w:sz="4" w:space="0"/>
              <w:left w:val="single" w:color="auto" w:sz="4" w:space="0"/>
              <w:bottom w:val="single" w:color="auto" w:sz="4" w:space="0"/>
              <w:right w:val="single" w:color="auto" w:sz="4" w:space="0"/>
            </w:tcBorders>
          </w:tcPr>
          <w:p w14:paraId="0509AEED">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r>
      <w:tr w14:paraId="4927C0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643" w:type="dxa"/>
            <w:tcBorders>
              <w:top w:val="single" w:color="auto" w:sz="4" w:space="0"/>
              <w:left w:val="single" w:color="auto" w:sz="4" w:space="0"/>
              <w:bottom w:val="single" w:color="auto" w:sz="4" w:space="0"/>
              <w:right w:val="single" w:color="auto" w:sz="4" w:space="0"/>
            </w:tcBorders>
          </w:tcPr>
          <w:p w14:paraId="3E26371C">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default"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lang w:val="en-US" w:eastAsia="zh-CN"/>
              </w:rPr>
              <w:t>...</w:t>
            </w:r>
          </w:p>
        </w:tc>
        <w:tc>
          <w:tcPr>
            <w:tcW w:w="2097" w:type="dxa"/>
            <w:tcBorders>
              <w:top w:val="single" w:color="auto" w:sz="4" w:space="0"/>
              <w:left w:val="single" w:color="auto" w:sz="4" w:space="0"/>
              <w:bottom w:val="single" w:color="auto" w:sz="4" w:space="0"/>
              <w:right w:val="single" w:color="auto" w:sz="4" w:space="0"/>
            </w:tcBorders>
          </w:tcPr>
          <w:p w14:paraId="4391639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hint="eastAsia" w:ascii="宋体" w:hAnsi="宋体" w:eastAsia="宋体" w:cs="宋体"/>
                <w:color w:val="auto"/>
                <w:spacing w:val="20"/>
                <w:kern w:val="0"/>
                <w:sz w:val="24"/>
                <w:highlight w:val="none"/>
                <w:lang w:eastAsia="zh-CN"/>
              </w:rPr>
            </w:pPr>
            <w:r>
              <w:rPr>
                <w:rFonts w:hint="eastAsia" w:ascii="宋体" w:hAnsi="宋体" w:cs="宋体"/>
                <w:color w:val="auto"/>
                <w:spacing w:val="20"/>
                <w:kern w:val="0"/>
                <w:sz w:val="24"/>
                <w:highlight w:val="none"/>
                <w:lang w:val="en-US" w:eastAsia="zh-CN"/>
              </w:rPr>
              <w:t>总计</w:t>
            </w:r>
          </w:p>
        </w:tc>
        <w:tc>
          <w:tcPr>
            <w:tcW w:w="1424" w:type="dxa"/>
            <w:tcBorders>
              <w:top w:val="single" w:color="auto" w:sz="4" w:space="0"/>
              <w:left w:val="single" w:color="auto" w:sz="4" w:space="0"/>
              <w:bottom w:val="single" w:color="auto" w:sz="4" w:space="0"/>
              <w:right w:val="single" w:color="auto" w:sz="4" w:space="0"/>
            </w:tcBorders>
          </w:tcPr>
          <w:p w14:paraId="33EC360B">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24" w:type="dxa"/>
            <w:tcBorders>
              <w:top w:val="single" w:color="auto" w:sz="4" w:space="0"/>
              <w:left w:val="single" w:color="auto" w:sz="4" w:space="0"/>
              <w:bottom w:val="single" w:color="auto" w:sz="4" w:space="0"/>
              <w:right w:val="single" w:color="auto" w:sz="4" w:space="0"/>
            </w:tcBorders>
          </w:tcPr>
          <w:p w14:paraId="61AFBD1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447" w:type="dxa"/>
            <w:tcBorders>
              <w:top w:val="single" w:color="auto" w:sz="4" w:space="0"/>
              <w:left w:val="single" w:color="auto" w:sz="4" w:space="0"/>
              <w:bottom w:val="single" w:color="auto" w:sz="4" w:space="0"/>
              <w:right w:val="single" w:color="auto" w:sz="4" w:space="0"/>
            </w:tcBorders>
          </w:tcPr>
          <w:p w14:paraId="0BDC30B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822" w:type="dxa"/>
            <w:tcBorders>
              <w:top w:val="single" w:color="auto" w:sz="4" w:space="0"/>
              <w:left w:val="single" w:color="auto" w:sz="4" w:space="0"/>
              <w:bottom w:val="single" w:color="auto" w:sz="4" w:space="0"/>
              <w:right w:val="single" w:color="auto" w:sz="4" w:space="0"/>
            </w:tcBorders>
          </w:tcPr>
          <w:p w14:paraId="2D7E3BC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883" w:type="dxa"/>
            <w:tcBorders>
              <w:top w:val="single" w:color="auto" w:sz="4" w:space="0"/>
              <w:left w:val="single" w:color="auto" w:sz="4" w:space="0"/>
              <w:bottom w:val="single" w:color="auto" w:sz="4" w:space="0"/>
              <w:right w:val="single" w:color="auto" w:sz="4" w:space="0"/>
            </w:tcBorders>
          </w:tcPr>
          <w:p w14:paraId="22901FB7">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c>
          <w:tcPr>
            <w:tcW w:w="1140" w:type="dxa"/>
            <w:tcBorders>
              <w:top w:val="single" w:color="auto" w:sz="4" w:space="0"/>
              <w:left w:val="single" w:color="auto" w:sz="4" w:space="0"/>
              <w:bottom w:val="single" w:color="auto" w:sz="4" w:space="0"/>
              <w:right w:val="single" w:color="auto" w:sz="4" w:space="0"/>
            </w:tcBorders>
          </w:tcPr>
          <w:p w14:paraId="19A8C1E0">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center"/>
              <w:textAlignment w:val="auto"/>
              <w:rPr>
                <w:rFonts w:ascii="宋体" w:hAnsi="宋体" w:cs="宋体"/>
                <w:color w:val="auto"/>
                <w:spacing w:val="20"/>
                <w:kern w:val="0"/>
                <w:sz w:val="24"/>
                <w:highlight w:val="none"/>
              </w:rPr>
            </w:pPr>
          </w:p>
        </w:tc>
      </w:tr>
      <w:tr w14:paraId="5BEAB4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643" w:type="dxa"/>
            <w:tcBorders>
              <w:top w:val="single" w:color="auto" w:sz="4" w:space="0"/>
              <w:left w:val="single" w:color="auto" w:sz="4" w:space="0"/>
              <w:bottom w:val="single" w:color="auto" w:sz="4" w:space="0"/>
              <w:right w:val="single" w:color="auto" w:sz="4" w:space="0"/>
            </w:tcBorders>
            <w:vAlign w:val="top"/>
          </w:tcPr>
          <w:p w14:paraId="15620352">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left"/>
              <w:textAlignment w:val="auto"/>
              <w:rPr>
                <w:rFonts w:hint="eastAsia" w:ascii="宋体" w:hAnsi="宋体" w:cs="宋体"/>
                <w:color w:val="auto"/>
                <w:spacing w:val="20"/>
                <w:kern w:val="0"/>
                <w:sz w:val="24"/>
                <w:highlight w:val="none"/>
              </w:rPr>
            </w:pPr>
          </w:p>
        </w:tc>
        <w:tc>
          <w:tcPr>
            <w:tcW w:w="9237" w:type="dxa"/>
            <w:gridSpan w:val="7"/>
            <w:tcBorders>
              <w:top w:val="single" w:color="auto" w:sz="4" w:space="0"/>
              <w:left w:val="single" w:color="auto" w:sz="4" w:space="0"/>
              <w:bottom w:val="single" w:color="auto" w:sz="4" w:space="0"/>
              <w:right w:val="single" w:color="auto" w:sz="4" w:space="0"/>
            </w:tcBorders>
            <w:vAlign w:val="top"/>
          </w:tcPr>
          <w:p w14:paraId="1E78E29E">
            <w:pPr>
              <w:keepNext w:val="0"/>
              <w:keepLines w:val="0"/>
              <w:pageBreakBefore w:val="0"/>
              <w:widowControl/>
              <w:tabs>
                <w:tab w:val="left" w:pos="1418"/>
              </w:tabs>
              <w:kinsoku/>
              <w:overflowPunct/>
              <w:topLinePunct w:val="0"/>
              <w:autoSpaceDE/>
              <w:autoSpaceDN/>
              <w:bidi w:val="0"/>
              <w:adjustRightInd/>
              <w:snapToGrid w:val="0"/>
              <w:spacing w:before="50" w:after="50" w:line="400" w:lineRule="exact"/>
              <w:jc w:val="left"/>
              <w:textAlignment w:val="auto"/>
              <w:rPr>
                <w:rFonts w:hint="eastAsia" w:ascii="宋体" w:hAnsi="宋体" w:cs="宋体"/>
                <w:color w:val="auto"/>
                <w:spacing w:val="20"/>
                <w:kern w:val="0"/>
                <w:sz w:val="24"/>
                <w:highlight w:val="none"/>
                <w:lang w:val="en-US" w:eastAsia="zh-CN"/>
              </w:rPr>
            </w:pPr>
            <w:r>
              <w:rPr>
                <w:rFonts w:hint="eastAsia" w:ascii="宋体" w:hAnsi="宋体" w:cs="宋体"/>
                <w:color w:val="auto"/>
                <w:spacing w:val="20"/>
                <w:kern w:val="0"/>
                <w:sz w:val="24"/>
                <w:highlight w:val="none"/>
              </w:rPr>
              <w:t>投标</w:t>
            </w:r>
            <w:r>
              <w:rPr>
                <w:rFonts w:hint="eastAsia" w:ascii="宋体" w:hAnsi="宋体" w:cs="宋体"/>
                <w:color w:val="auto"/>
                <w:spacing w:val="20"/>
                <w:kern w:val="0"/>
                <w:sz w:val="24"/>
                <w:highlight w:val="none"/>
                <w:lang w:val="en-US" w:eastAsia="zh-CN"/>
              </w:rPr>
              <w:t>总</w:t>
            </w:r>
            <w:r>
              <w:rPr>
                <w:rFonts w:hint="eastAsia" w:ascii="宋体" w:hAnsi="宋体" w:cs="宋体"/>
                <w:color w:val="auto"/>
                <w:spacing w:val="20"/>
                <w:kern w:val="0"/>
                <w:sz w:val="24"/>
                <w:highlight w:val="none"/>
              </w:rPr>
              <w:t>价(</w:t>
            </w:r>
            <w:r>
              <w:rPr>
                <w:rFonts w:hint="eastAsia" w:ascii="宋体" w:hAnsi="宋体" w:cs="宋体"/>
                <w:color w:val="auto"/>
                <w:kern w:val="0"/>
                <w:sz w:val="24"/>
                <w:szCs w:val="21"/>
                <w:highlight w:val="none"/>
              </w:rPr>
              <w:t>大写)：</w:t>
            </w:r>
          </w:p>
        </w:tc>
      </w:tr>
    </w:tbl>
    <w:p w14:paraId="0D392F4F">
      <w:pPr>
        <w:pStyle w:val="31"/>
        <w:keepNext w:val="0"/>
        <w:pageBreakBefore w:val="0"/>
        <w:widowControl w:val="0"/>
        <w:overflowPunct/>
        <w:topLinePunct w:val="0"/>
        <w:bidi w:val="0"/>
        <w:ind w:firstLine="3990" w:firstLineChars="1900"/>
        <w:rPr>
          <w:rFonts w:hint="eastAsia" w:ascii="宋体" w:hAnsi="宋体" w:eastAsia="宋体" w:cs="宋体"/>
          <w:color w:val="auto"/>
          <w:sz w:val="21"/>
          <w:szCs w:val="21"/>
          <w:highlight w:val="none"/>
          <w:lang w:eastAsia="zh-CN"/>
        </w:rPr>
      </w:pPr>
    </w:p>
    <w:p w14:paraId="3C53A5A9">
      <w:pPr>
        <w:pStyle w:val="31"/>
        <w:keepNext w:val="0"/>
        <w:pageBreakBefore w:val="0"/>
        <w:widowControl w:val="0"/>
        <w:overflowPunct/>
        <w:topLinePunct w:val="0"/>
        <w:bidi w:val="0"/>
        <w:ind w:firstLine="3990" w:firstLineChars="19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（全称并加盖公章）：</w:t>
      </w:r>
    </w:p>
    <w:p w14:paraId="343B3390">
      <w:pPr>
        <w:keepNext w:val="0"/>
        <w:pageBreakBefore w:val="0"/>
        <w:widowControl w:val="0"/>
        <w:shd w:val="clear" w:color="auto" w:fill="FFFFFF"/>
        <w:overflowPunct/>
        <w:topLinePunct w:val="0"/>
        <w:bidi w:val="0"/>
        <w:spacing w:line="360" w:lineRule="auto"/>
        <w:ind w:left="1480" w:leftChars="705" w:firstLine="1524" w:firstLineChars="726"/>
        <w:jc w:val="both"/>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法定代表人或委托代理人（签字</w:t>
      </w:r>
      <w:r>
        <w:rPr>
          <w:rFonts w:hint="eastAsia" w:ascii="宋体" w:hAnsi="宋体" w:eastAsia="宋体" w:cs="宋体"/>
          <w:color w:val="auto"/>
          <w:kern w:val="0"/>
          <w:sz w:val="21"/>
          <w:szCs w:val="21"/>
          <w:highlight w:val="none"/>
          <w:lang w:val="en-US" w:eastAsia="zh-CN"/>
        </w:rPr>
        <w:t>或盖章</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u w:val="single"/>
        </w:rPr>
        <w:t xml:space="preserve">           </w:t>
      </w:r>
    </w:p>
    <w:p w14:paraId="3603295E">
      <w:pPr>
        <w:keepNext w:val="0"/>
        <w:pageBreakBefore w:val="0"/>
        <w:widowControl w:val="0"/>
        <w:wordWrap w:val="0"/>
        <w:overflowPunct/>
        <w:topLinePunct w:val="0"/>
        <w:bidi w:val="0"/>
        <w:spacing w:line="460" w:lineRule="exact"/>
        <w:ind w:firstLine="4410" w:firstLineChars="21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年    月    日</w:t>
      </w:r>
    </w:p>
    <w:p w14:paraId="220BA8D1">
      <w:pPr>
        <w:keepNext w:val="0"/>
        <w:pageBreakBefore w:val="0"/>
        <w:widowControl w:val="0"/>
        <w:wordWrap w:val="0"/>
        <w:overflowPunct/>
        <w:topLinePunct w:val="0"/>
        <w:bidi w:val="0"/>
        <w:spacing w:line="460" w:lineRule="exact"/>
        <w:ind w:firstLine="4800" w:firstLineChars="2000"/>
        <w:jc w:val="left"/>
        <w:rPr>
          <w:rFonts w:hint="eastAsia" w:ascii="宋体" w:hAnsi="宋体" w:eastAsia="宋体" w:cs="宋体"/>
          <w:color w:val="auto"/>
          <w:sz w:val="28"/>
          <w:szCs w:val="28"/>
          <w:highlight w:val="none"/>
          <w:lang w:val="en-US" w:eastAsia="zh-CN"/>
        </w:rPr>
      </w:pPr>
      <w:r>
        <w:rPr>
          <w:rFonts w:hint="eastAsia" w:ascii="宋体" w:hAnsi="宋体" w:eastAsia="宋体" w:cs="宋体"/>
          <w:color w:val="auto"/>
          <w:kern w:val="0"/>
          <w:sz w:val="24"/>
          <w:highlight w:val="none"/>
        </w:rPr>
        <w:t xml:space="preserve">     </w:t>
      </w:r>
    </w:p>
    <w:p w14:paraId="50CE31F5">
      <w:pPr>
        <w:pStyle w:val="22"/>
        <w:keepNext w:val="0"/>
        <w:pageBreakBefore w:val="0"/>
        <w:widowControl w:val="0"/>
        <w:overflowPunct/>
        <w:topLinePunct w:val="0"/>
        <w:bidi w:val="0"/>
        <w:rPr>
          <w:rFonts w:hint="eastAsia" w:ascii="宋体" w:hAnsi="宋体" w:eastAsia="宋体" w:cs="宋体"/>
          <w:color w:val="auto"/>
          <w:kern w:val="0"/>
          <w:sz w:val="24"/>
          <w:highlight w:val="none"/>
        </w:rPr>
        <w:sectPr>
          <w:footerReference r:id="rId5" w:type="default"/>
          <w:pgSz w:w="11906" w:h="16838"/>
          <w:pgMar w:top="1417" w:right="1474" w:bottom="1417" w:left="1474" w:header="851" w:footer="624" w:gutter="0"/>
          <w:pgNumType w:fmt="decimal"/>
          <w:cols w:space="720" w:num="1"/>
          <w:docGrid w:type="lines" w:linePitch="319" w:charSpace="0"/>
        </w:sectPr>
      </w:pPr>
    </w:p>
    <w:p w14:paraId="568848E2">
      <w:pPr>
        <w:pStyle w:val="5"/>
        <w:keepNext w:val="0"/>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80" w:name="_Toc226"/>
      <w:bookmarkStart w:id="81" w:name="_Toc15804"/>
      <w:r>
        <w:rPr>
          <w:rFonts w:hint="eastAsia" w:ascii="宋体" w:hAnsi="宋体" w:eastAsia="宋体" w:cs="宋体"/>
          <w:color w:val="auto"/>
          <w:sz w:val="28"/>
          <w:szCs w:val="28"/>
          <w:highlight w:val="none"/>
          <w:lang w:val="en-US" w:eastAsia="zh-CN"/>
        </w:rPr>
        <w:t xml:space="preserve">附件5        </w:t>
      </w:r>
      <w:bookmarkEnd w:id="80"/>
      <w:bookmarkEnd w:id="81"/>
      <w:r>
        <w:rPr>
          <w:rFonts w:hint="eastAsia" w:ascii="宋体" w:hAnsi="宋体" w:eastAsia="宋体" w:cs="宋体"/>
          <w:color w:val="auto"/>
          <w:sz w:val="28"/>
          <w:szCs w:val="28"/>
          <w:highlight w:val="none"/>
          <w:lang w:val="en-US" w:eastAsia="zh-CN"/>
        </w:rPr>
        <w:t xml:space="preserve"> 技术响应表（格式）</w:t>
      </w:r>
    </w:p>
    <w:tbl>
      <w:tblPr>
        <w:tblStyle w:val="91"/>
        <w:tblW w:w="907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72"/>
        <w:gridCol w:w="1833"/>
        <w:gridCol w:w="2625"/>
        <w:gridCol w:w="2379"/>
        <w:gridCol w:w="1468"/>
      </w:tblGrid>
      <w:tr w14:paraId="0D3619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4" w:hRule="atLeast"/>
        </w:trPr>
        <w:tc>
          <w:tcPr>
            <w:tcW w:w="772" w:type="dxa"/>
            <w:noWrap w:val="0"/>
            <w:vAlign w:val="center"/>
          </w:tcPr>
          <w:p w14:paraId="6640C705">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833" w:type="dxa"/>
            <w:noWrap w:val="0"/>
            <w:vAlign w:val="center"/>
          </w:tcPr>
          <w:p w14:paraId="2D72A28F">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货物</w:t>
            </w:r>
            <w:r>
              <w:rPr>
                <w:rFonts w:hint="eastAsia" w:ascii="宋体" w:hAnsi="宋体" w:eastAsia="宋体" w:cs="宋体"/>
                <w:color w:val="auto"/>
                <w:sz w:val="21"/>
                <w:szCs w:val="21"/>
                <w:highlight w:val="none"/>
                <w:lang w:val="en-US" w:eastAsia="zh-CN"/>
              </w:rPr>
              <w:t>名称</w:t>
            </w:r>
          </w:p>
        </w:tc>
        <w:tc>
          <w:tcPr>
            <w:tcW w:w="2625" w:type="dxa"/>
            <w:noWrap w:val="0"/>
            <w:vAlign w:val="center"/>
          </w:tcPr>
          <w:p w14:paraId="2CADDFB5">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rPr>
              <w:t>文件要求</w:t>
            </w:r>
          </w:p>
        </w:tc>
        <w:tc>
          <w:tcPr>
            <w:tcW w:w="2379" w:type="dxa"/>
            <w:noWrap w:val="0"/>
            <w:vAlign w:val="center"/>
          </w:tcPr>
          <w:p w14:paraId="64D1EF6A">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文件响应</w:t>
            </w:r>
          </w:p>
        </w:tc>
        <w:tc>
          <w:tcPr>
            <w:tcW w:w="1468" w:type="dxa"/>
            <w:noWrap w:val="0"/>
            <w:vAlign w:val="center"/>
          </w:tcPr>
          <w:p w14:paraId="0239E581">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偏离情况</w:t>
            </w:r>
          </w:p>
        </w:tc>
      </w:tr>
      <w:tr w14:paraId="2D4D93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77" w:hRule="atLeast"/>
        </w:trPr>
        <w:tc>
          <w:tcPr>
            <w:tcW w:w="772" w:type="dxa"/>
            <w:noWrap w:val="0"/>
            <w:vAlign w:val="center"/>
          </w:tcPr>
          <w:p w14:paraId="7EAE5FC0">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833" w:type="dxa"/>
            <w:noWrap w:val="0"/>
            <w:vAlign w:val="center"/>
          </w:tcPr>
          <w:p w14:paraId="45335009">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625" w:type="dxa"/>
            <w:noWrap w:val="0"/>
            <w:vAlign w:val="center"/>
          </w:tcPr>
          <w:p w14:paraId="4AECB74C">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379" w:type="dxa"/>
            <w:noWrap w:val="0"/>
            <w:vAlign w:val="center"/>
          </w:tcPr>
          <w:p w14:paraId="6308173A">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468" w:type="dxa"/>
            <w:noWrap w:val="0"/>
            <w:vAlign w:val="center"/>
          </w:tcPr>
          <w:p w14:paraId="0321D341">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548DA0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7" w:hRule="atLeast"/>
        </w:trPr>
        <w:tc>
          <w:tcPr>
            <w:tcW w:w="772" w:type="dxa"/>
            <w:noWrap w:val="0"/>
            <w:vAlign w:val="center"/>
          </w:tcPr>
          <w:p w14:paraId="6320EBC6">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833" w:type="dxa"/>
            <w:noWrap w:val="0"/>
            <w:vAlign w:val="center"/>
          </w:tcPr>
          <w:p w14:paraId="61E0DE61">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625" w:type="dxa"/>
            <w:noWrap w:val="0"/>
            <w:vAlign w:val="center"/>
          </w:tcPr>
          <w:p w14:paraId="6D2286C8">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379" w:type="dxa"/>
            <w:noWrap w:val="0"/>
            <w:vAlign w:val="center"/>
          </w:tcPr>
          <w:p w14:paraId="3F06F6D1">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468" w:type="dxa"/>
            <w:noWrap w:val="0"/>
            <w:vAlign w:val="center"/>
          </w:tcPr>
          <w:p w14:paraId="76A69889">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51E54C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5" w:hRule="atLeast"/>
        </w:trPr>
        <w:tc>
          <w:tcPr>
            <w:tcW w:w="772" w:type="dxa"/>
            <w:noWrap w:val="0"/>
            <w:vAlign w:val="center"/>
          </w:tcPr>
          <w:p w14:paraId="6191A7FE">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c>
          <w:tcPr>
            <w:tcW w:w="1833" w:type="dxa"/>
            <w:noWrap w:val="0"/>
            <w:vAlign w:val="center"/>
          </w:tcPr>
          <w:p w14:paraId="25917D6C">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625" w:type="dxa"/>
            <w:noWrap w:val="0"/>
            <w:vAlign w:val="center"/>
          </w:tcPr>
          <w:p w14:paraId="3C39ED85">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2379" w:type="dxa"/>
            <w:noWrap w:val="0"/>
            <w:vAlign w:val="center"/>
          </w:tcPr>
          <w:p w14:paraId="1873EC31">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468" w:type="dxa"/>
            <w:noWrap w:val="0"/>
            <w:vAlign w:val="center"/>
          </w:tcPr>
          <w:p w14:paraId="6F8C6065">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bl>
    <w:p w14:paraId="42FF9128">
      <w:pPr>
        <w:keepNext w:val="0"/>
        <w:pageBreakBefore w:val="0"/>
        <w:widowControl w:val="0"/>
        <w:wordWrap w:val="0"/>
        <w:overflowPunct/>
        <w:topLinePunct w:val="0"/>
        <w:bidi w:val="0"/>
        <w:spacing w:line="460" w:lineRule="exact"/>
        <w:ind w:firstLine="422" w:firstLineChars="200"/>
        <w:jc w:val="left"/>
        <w:rPr>
          <w:rFonts w:hint="eastAsia" w:ascii="宋体" w:hAnsi="宋体" w:eastAsia="宋体" w:cs="宋体"/>
          <w:b/>
          <w:color w:val="auto"/>
          <w:kern w:val="0"/>
          <w:sz w:val="21"/>
          <w:szCs w:val="21"/>
          <w:highlight w:val="none"/>
          <w:lang w:val="en-US" w:eastAsia="zh-CN"/>
        </w:rPr>
      </w:pPr>
    </w:p>
    <w:p w14:paraId="6CF19DC9">
      <w:pPr>
        <w:keepNext w:val="0"/>
        <w:pageBreakBefore w:val="0"/>
        <w:widowControl w:val="0"/>
        <w:wordWrap/>
        <w:overflowPunct/>
        <w:topLinePunct w:val="0"/>
        <w:bidi w:val="0"/>
        <w:spacing w:line="36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注：供应商必须如实完整填写表格，“偏离情况”是指“正偏离”、“负偏离”或“无偏离”。</w:t>
      </w:r>
    </w:p>
    <w:p w14:paraId="75C7CAD4">
      <w:pPr>
        <w:keepNext w:val="0"/>
        <w:pageBreakBefore w:val="0"/>
        <w:widowControl w:val="0"/>
        <w:wordWrap/>
        <w:overflowPunct/>
        <w:topLinePunct w:val="0"/>
        <w:bidi w:val="0"/>
        <w:spacing w:line="360" w:lineRule="auto"/>
        <w:textAlignment w:val="baseline"/>
        <w:rPr>
          <w:rFonts w:hint="eastAsia" w:ascii="宋体" w:hAnsi="宋体" w:eastAsia="宋体" w:cs="宋体"/>
          <w:color w:val="auto"/>
          <w:sz w:val="21"/>
          <w:szCs w:val="21"/>
          <w:highlight w:val="none"/>
        </w:rPr>
      </w:pPr>
    </w:p>
    <w:p w14:paraId="253A2AFC">
      <w:pPr>
        <w:keepNext w:val="0"/>
        <w:pageBreakBefore w:val="0"/>
        <w:widowControl w:val="0"/>
        <w:wordWrap/>
        <w:overflowPunct/>
        <w:topLinePunct w:val="0"/>
        <w:bidi w:val="0"/>
        <w:spacing w:line="36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379247D3">
      <w:pPr>
        <w:keepNext w:val="0"/>
        <w:pageBreakBefore w:val="0"/>
        <w:widowControl w:val="0"/>
        <w:wordWrap/>
        <w:overflowPunct/>
        <w:topLinePunct w:val="0"/>
        <w:bidi w:val="0"/>
        <w:spacing w:line="360" w:lineRule="auto"/>
        <w:ind w:firstLine="2100" w:firstLineChars="10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（全称并加盖公章）</w:t>
      </w:r>
    </w:p>
    <w:p w14:paraId="2C0005D5">
      <w:pPr>
        <w:keepNext w:val="0"/>
        <w:pageBreakBefore w:val="0"/>
        <w:widowControl w:val="0"/>
        <w:wordWrap w:val="0"/>
        <w:overflowPunct/>
        <w:topLinePunct w:val="0"/>
        <w:bidi w:val="0"/>
        <w:spacing w:line="460" w:lineRule="exact"/>
        <w:ind w:firstLine="3570" w:firstLineChars="1700"/>
        <w:jc w:val="left"/>
        <w:rPr>
          <w:rFonts w:hint="eastAsia" w:ascii="宋体" w:hAnsi="宋体" w:eastAsia="宋体" w:cs="宋体"/>
          <w:b/>
          <w:color w:val="auto"/>
          <w:kern w:val="0"/>
          <w:sz w:val="32"/>
          <w:szCs w:val="32"/>
          <w:highlight w:val="none"/>
          <w:lang w:val="en-US" w:eastAsia="zh-CN"/>
        </w:rPr>
      </w:pPr>
      <w:r>
        <w:rPr>
          <w:rFonts w:hint="eastAsia" w:ascii="宋体" w:hAnsi="宋体" w:eastAsia="宋体" w:cs="宋体"/>
          <w:color w:val="auto"/>
          <w:sz w:val="21"/>
          <w:szCs w:val="21"/>
          <w:highlight w:val="none"/>
        </w:rPr>
        <w:t>年    月    日</w:t>
      </w:r>
    </w:p>
    <w:p w14:paraId="0E8A4B7C">
      <w:pPr>
        <w:keepNext w:val="0"/>
        <w:pageBreakBefore w:val="0"/>
        <w:widowControl w:val="0"/>
        <w:wordWrap w:val="0"/>
        <w:overflowPunct/>
        <w:topLinePunct w:val="0"/>
        <w:bidi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39AF219E">
      <w:pPr>
        <w:keepNext w:val="0"/>
        <w:pageBreakBefore w:val="0"/>
        <w:widowControl w:val="0"/>
        <w:wordWrap w:val="0"/>
        <w:overflowPunct/>
        <w:topLinePunct w:val="0"/>
        <w:bidi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543AA529">
      <w:pPr>
        <w:keepNext w:val="0"/>
        <w:pageBreakBefore w:val="0"/>
        <w:widowControl w:val="0"/>
        <w:wordWrap w:val="0"/>
        <w:overflowPunct/>
        <w:topLinePunct w:val="0"/>
        <w:bidi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6EFDFB9A">
      <w:pPr>
        <w:keepNext w:val="0"/>
        <w:pageBreakBefore w:val="0"/>
        <w:widowControl w:val="0"/>
        <w:wordWrap w:val="0"/>
        <w:overflowPunct/>
        <w:topLinePunct w:val="0"/>
        <w:bidi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26D09C0E">
      <w:pPr>
        <w:keepNext w:val="0"/>
        <w:pageBreakBefore w:val="0"/>
        <w:widowControl w:val="0"/>
        <w:wordWrap w:val="0"/>
        <w:overflowPunct/>
        <w:topLinePunct w:val="0"/>
        <w:bidi w:val="0"/>
        <w:spacing w:line="460" w:lineRule="exact"/>
        <w:ind w:firstLine="643" w:firstLineChars="200"/>
        <w:jc w:val="left"/>
        <w:rPr>
          <w:rFonts w:hint="eastAsia" w:ascii="宋体" w:hAnsi="宋体" w:eastAsia="宋体" w:cs="宋体"/>
          <w:b/>
          <w:color w:val="auto"/>
          <w:kern w:val="0"/>
          <w:sz w:val="32"/>
          <w:szCs w:val="32"/>
          <w:highlight w:val="none"/>
          <w:lang w:val="en-US" w:eastAsia="zh-CN"/>
        </w:rPr>
      </w:pPr>
    </w:p>
    <w:p w14:paraId="679BF405">
      <w:pPr>
        <w:keepNext w:val="0"/>
        <w:pageBreakBefore w:val="0"/>
        <w:widowControl w:val="0"/>
        <w:wordWrap w:val="0"/>
        <w:overflowPunct/>
        <w:topLinePunct w:val="0"/>
        <w:bidi w:val="0"/>
        <w:snapToGrid w:val="0"/>
        <w:spacing w:before="50" w:afterLines="50"/>
        <w:jc w:val="left"/>
        <w:rPr>
          <w:rFonts w:hint="eastAsia" w:ascii="宋体" w:hAnsi="宋体" w:eastAsia="宋体" w:cs="宋体"/>
          <w:color w:val="auto"/>
          <w:kern w:val="0"/>
          <w:sz w:val="24"/>
          <w:highlight w:val="none"/>
          <w:u w:val="single"/>
          <w:lang w:eastAsia="zh-CN"/>
        </w:rPr>
      </w:pPr>
    </w:p>
    <w:p w14:paraId="0D4CA0FB">
      <w:pPr>
        <w:keepNext w:val="0"/>
        <w:pageBreakBefore w:val="0"/>
        <w:widowControl w:val="0"/>
        <w:overflowPunct/>
        <w:topLinePunct w:val="0"/>
        <w:bidi w:val="0"/>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br w:type="page"/>
      </w:r>
    </w:p>
    <w:p w14:paraId="3C754F10">
      <w:pPr>
        <w:pStyle w:val="5"/>
        <w:keepNext w:val="0"/>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82" w:name="_Toc24168"/>
      <w:bookmarkStart w:id="83" w:name="_Toc20420"/>
      <w:bookmarkStart w:id="84" w:name="_Toc29960"/>
      <w:r>
        <w:rPr>
          <w:rFonts w:hint="eastAsia" w:ascii="宋体" w:hAnsi="宋体" w:eastAsia="宋体" w:cs="宋体"/>
          <w:color w:val="auto"/>
          <w:sz w:val="28"/>
          <w:szCs w:val="28"/>
          <w:highlight w:val="none"/>
          <w:lang w:val="en-US" w:eastAsia="zh-CN"/>
        </w:rPr>
        <w:t>附件6         商务响应</w:t>
      </w:r>
      <w:bookmarkEnd w:id="82"/>
      <w:bookmarkEnd w:id="83"/>
      <w:bookmarkEnd w:id="84"/>
      <w:r>
        <w:rPr>
          <w:rFonts w:hint="eastAsia" w:ascii="宋体" w:hAnsi="宋体" w:eastAsia="宋体" w:cs="宋体"/>
          <w:color w:val="auto"/>
          <w:sz w:val="28"/>
          <w:szCs w:val="28"/>
          <w:highlight w:val="none"/>
          <w:lang w:val="en-US" w:eastAsia="zh-CN"/>
        </w:rPr>
        <w:t>表（格式）</w:t>
      </w:r>
    </w:p>
    <w:p w14:paraId="6D8CC24E">
      <w:pPr>
        <w:keepNext w:val="0"/>
        <w:pageBreakBefore w:val="0"/>
        <w:widowControl w:val="0"/>
        <w:wordWrap w:val="0"/>
        <w:overflowPunct/>
        <w:topLinePunct w:val="0"/>
        <w:bidi w:val="0"/>
        <w:spacing w:line="460" w:lineRule="exact"/>
        <w:jc w:val="left"/>
        <w:rPr>
          <w:rFonts w:hint="eastAsia" w:ascii="宋体" w:hAnsi="宋体" w:eastAsia="宋体" w:cs="宋体"/>
          <w:b/>
          <w:color w:val="auto"/>
          <w:kern w:val="0"/>
          <w:sz w:val="32"/>
          <w:szCs w:val="32"/>
          <w:highlight w:val="none"/>
          <w:lang w:val="en-US" w:eastAsia="zh-CN"/>
        </w:rPr>
      </w:pPr>
      <w:r>
        <w:rPr>
          <w:rFonts w:hint="eastAsia" w:ascii="宋体" w:hAnsi="宋体" w:eastAsia="宋体" w:cs="宋体"/>
          <w:b/>
          <w:color w:val="auto"/>
          <w:kern w:val="0"/>
          <w:sz w:val="32"/>
          <w:szCs w:val="32"/>
          <w:highlight w:val="none"/>
          <w:lang w:val="en-US" w:eastAsia="zh-CN"/>
        </w:rPr>
        <w:t xml:space="preserve">  </w:t>
      </w:r>
    </w:p>
    <w:tbl>
      <w:tblPr>
        <w:tblStyle w:val="91"/>
        <w:tblW w:w="863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81"/>
        <w:gridCol w:w="1982"/>
        <w:gridCol w:w="2888"/>
        <w:gridCol w:w="1477"/>
        <w:gridCol w:w="1310"/>
      </w:tblGrid>
      <w:tr w14:paraId="77FD3E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7" w:hRule="atLeast"/>
          <w:jc w:val="center"/>
        </w:trPr>
        <w:tc>
          <w:tcPr>
            <w:tcW w:w="981" w:type="dxa"/>
            <w:noWrap w:val="0"/>
            <w:vAlign w:val="center"/>
          </w:tcPr>
          <w:p w14:paraId="4D3BB038">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序号</w:t>
            </w:r>
          </w:p>
        </w:tc>
        <w:tc>
          <w:tcPr>
            <w:tcW w:w="1982" w:type="dxa"/>
            <w:noWrap w:val="0"/>
            <w:vAlign w:val="center"/>
          </w:tcPr>
          <w:p w14:paraId="2F7728FB">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名称</w:t>
            </w:r>
          </w:p>
        </w:tc>
        <w:tc>
          <w:tcPr>
            <w:tcW w:w="2888" w:type="dxa"/>
            <w:noWrap w:val="0"/>
            <w:vAlign w:val="center"/>
          </w:tcPr>
          <w:p w14:paraId="69860794">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rPr>
              <w:t>文件要求</w:t>
            </w:r>
          </w:p>
        </w:tc>
        <w:tc>
          <w:tcPr>
            <w:tcW w:w="1477" w:type="dxa"/>
            <w:noWrap w:val="0"/>
            <w:vAlign w:val="center"/>
          </w:tcPr>
          <w:p w14:paraId="433E3ED6">
            <w:pPr>
              <w:keepNext w:val="0"/>
              <w:pageBreakBefore w:val="0"/>
              <w:widowControl w:val="0"/>
              <w:wordWrap/>
              <w:overflowPunct/>
              <w:topLinePunct w:val="0"/>
              <w:bidi w:val="0"/>
              <w:spacing w:line="360" w:lineRule="auto"/>
              <w:jc w:val="center"/>
              <w:textAlignment w:val="baseline"/>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是否响应</w:t>
            </w:r>
          </w:p>
        </w:tc>
        <w:tc>
          <w:tcPr>
            <w:tcW w:w="1310" w:type="dxa"/>
            <w:noWrap w:val="0"/>
            <w:vAlign w:val="center"/>
          </w:tcPr>
          <w:p w14:paraId="76FA13D4">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备注</w:t>
            </w:r>
          </w:p>
        </w:tc>
      </w:tr>
      <w:tr w14:paraId="67E193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9" w:hRule="atLeast"/>
          <w:jc w:val="center"/>
        </w:trPr>
        <w:tc>
          <w:tcPr>
            <w:tcW w:w="981" w:type="dxa"/>
            <w:noWrap w:val="0"/>
            <w:vAlign w:val="center"/>
          </w:tcPr>
          <w:p w14:paraId="1DD33223">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w:t>
            </w:r>
          </w:p>
        </w:tc>
        <w:tc>
          <w:tcPr>
            <w:tcW w:w="1982" w:type="dxa"/>
            <w:noWrap w:val="0"/>
            <w:vAlign w:val="center"/>
          </w:tcPr>
          <w:p w14:paraId="7A24A9AD">
            <w:pPr>
              <w:pStyle w:val="13"/>
              <w:keepNext w:val="0"/>
              <w:pageBreakBefore w:val="0"/>
              <w:widowControl w:val="0"/>
              <w:overflowPunct/>
              <w:topLinePunct w:val="0"/>
              <w:bidi w:val="0"/>
              <w:ind w:left="0" w:lef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合同签订时间</w:t>
            </w:r>
          </w:p>
        </w:tc>
        <w:tc>
          <w:tcPr>
            <w:tcW w:w="2888" w:type="dxa"/>
            <w:noWrap w:val="0"/>
            <w:vAlign w:val="center"/>
          </w:tcPr>
          <w:p w14:paraId="493156F5">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477" w:type="dxa"/>
            <w:noWrap w:val="0"/>
            <w:vAlign w:val="center"/>
          </w:tcPr>
          <w:p w14:paraId="6A3103DB">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310" w:type="dxa"/>
            <w:noWrap w:val="0"/>
            <w:vAlign w:val="center"/>
          </w:tcPr>
          <w:p w14:paraId="169D8C27">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394B40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9" w:hRule="atLeast"/>
          <w:jc w:val="center"/>
        </w:trPr>
        <w:tc>
          <w:tcPr>
            <w:tcW w:w="981" w:type="dxa"/>
            <w:noWrap w:val="0"/>
            <w:vAlign w:val="center"/>
          </w:tcPr>
          <w:p w14:paraId="34AEC886">
            <w:pPr>
              <w:keepNext w:val="0"/>
              <w:pageBreakBefore w:val="0"/>
              <w:widowControl w:val="0"/>
              <w:wordWrap/>
              <w:overflowPunct/>
              <w:topLinePunct w:val="0"/>
              <w:bidi w:val="0"/>
              <w:spacing w:line="360" w:lineRule="auto"/>
              <w:jc w:val="center"/>
              <w:textAlignment w:val="baseline"/>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p>
        </w:tc>
        <w:tc>
          <w:tcPr>
            <w:tcW w:w="1982" w:type="dxa"/>
            <w:noWrap w:val="0"/>
            <w:vAlign w:val="center"/>
          </w:tcPr>
          <w:p w14:paraId="32D265A2">
            <w:pPr>
              <w:pStyle w:val="13"/>
              <w:keepNext w:val="0"/>
              <w:pageBreakBefore w:val="0"/>
              <w:widowControl w:val="0"/>
              <w:overflowPunct/>
              <w:topLinePunct w:val="0"/>
              <w:bidi w:val="0"/>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交货地点</w:t>
            </w:r>
          </w:p>
        </w:tc>
        <w:tc>
          <w:tcPr>
            <w:tcW w:w="2888" w:type="dxa"/>
            <w:noWrap w:val="0"/>
            <w:vAlign w:val="center"/>
          </w:tcPr>
          <w:p w14:paraId="549C2C71">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477" w:type="dxa"/>
            <w:noWrap w:val="0"/>
            <w:vAlign w:val="center"/>
          </w:tcPr>
          <w:p w14:paraId="7759A7AF">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310" w:type="dxa"/>
            <w:noWrap w:val="0"/>
            <w:vAlign w:val="center"/>
          </w:tcPr>
          <w:p w14:paraId="76BF81AC">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625315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9" w:hRule="atLeast"/>
          <w:jc w:val="center"/>
        </w:trPr>
        <w:tc>
          <w:tcPr>
            <w:tcW w:w="981" w:type="dxa"/>
            <w:noWrap w:val="0"/>
            <w:vAlign w:val="center"/>
          </w:tcPr>
          <w:p w14:paraId="250354C1">
            <w:pPr>
              <w:keepNext w:val="0"/>
              <w:pageBreakBefore w:val="0"/>
              <w:widowControl w:val="0"/>
              <w:wordWrap/>
              <w:overflowPunct/>
              <w:topLinePunct w:val="0"/>
              <w:bidi w:val="0"/>
              <w:spacing w:line="360" w:lineRule="auto"/>
              <w:jc w:val="center"/>
              <w:textAlignment w:val="baseline"/>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3</w:t>
            </w:r>
          </w:p>
        </w:tc>
        <w:tc>
          <w:tcPr>
            <w:tcW w:w="1982" w:type="dxa"/>
            <w:noWrap w:val="0"/>
            <w:vAlign w:val="center"/>
          </w:tcPr>
          <w:p w14:paraId="5FBC217B">
            <w:pPr>
              <w:pStyle w:val="13"/>
              <w:keepNext w:val="0"/>
              <w:pageBreakBefore w:val="0"/>
              <w:widowControl w:val="0"/>
              <w:overflowPunct/>
              <w:topLinePunct w:val="0"/>
              <w:bidi w:val="0"/>
              <w:ind w:left="0" w:leftChars="0"/>
              <w:jc w:val="center"/>
              <w:rPr>
                <w:rFonts w:hint="eastAsia" w:ascii="宋体" w:hAnsi="宋体" w:eastAsia="宋体" w:cs="宋体"/>
                <w:color w:val="auto"/>
                <w:sz w:val="21"/>
                <w:szCs w:val="21"/>
                <w:highlight w:val="none"/>
              </w:rPr>
            </w:pPr>
            <w:r>
              <w:rPr>
                <w:rFonts w:hint="eastAsia" w:cs="宋体"/>
                <w:color w:val="auto"/>
                <w:sz w:val="21"/>
                <w:szCs w:val="21"/>
                <w:highlight w:val="none"/>
                <w:lang w:val="en-US" w:eastAsia="zh-CN"/>
              </w:rPr>
              <w:t>交货期</w:t>
            </w:r>
          </w:p>
        </w:tc>
        <w:tc>
          <w:tcPr>
            <w:tcW w:w="2888" w:type="dxa"/>
            <w:noWrap w:val="0"/>
            <w:vAlign w:val="center"/>
          </w:tcPr>
          <w:p w14:paraId="2E1B9C12">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477" w:type="dxa"/>
            <w:noWrap w:val="0"/>
            <w:vAlign w:val="center"/>
          </w:tcPr>
          <w:p w14:paraId="5ABEA981">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310" w:type="dxa"/>
            <w:noWrap w:val="0"/>
            <w:vAlign w:val="center"/>
          </w:tcPr>
          <w:p w14:paraId="16FACE72">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3D7D41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9" w:hRule="atLeast"/>
          <w:jc w:val="center"/>
        </w:trPr>
        <w:tc>
          <w:tcPr>
            <w:tcW w:w="981" w:type="dxa"/>
            <w:noWrap w:val="0"/>
            <w:vAlign w:val="center"/>
          </w:tcPr>
          <w:p w14:paraId="26E42AE3">
            <w:pPr>
              <w:keepNext w:val="0"/>
              <w:pageBreakBefore w:val="0"/>
              <w:widowControl w:val="0"/>
              <w:wordWrap/>
              <w:overflowPunct/>
              <w:topLinePunct w:val="0"/>
              <w:bidi w:val="0"/>
              <w:spacing w:line="360" w:lineRule="auto"/>
              <w:jc w:val="center"/>
              <w:textAlignment w:val="baseline"/>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982" w:type="dxa"/>
            <w:noWrap w:val="0"/>
            <w:vAlign w:val="center"/>
          </w:tcPr>
          <w:p w14:paraId="72B55C4B">
            <w:pPr>
              <w:pStyle w:val="13"/>
              <w:keepNext w:val="0"/>
              <w:pageBreakBefore w:val="0"/>
              <w:widowControl w:val="0"/>
              <w:overflowPunct/>
              <w:topLinePunct w:val="0"/>
              <w:bidi w:val="0"/>
              <w:ind w:left="0" w:lef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质保期</w:t>
            </w:r>
          </w:p>
        </w:tc>
        <w:tc>
          <w:tcPr>
            <w:tcW w:w="2888" w:type="dxa"/>
            <w:noWrap w:val="0"/>
            <w:vAlign w:val="center"/>
          </w:tcPr>
          <w:p w14:paraId="7B7CA4D2">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477" w:type="dxa"/>
            <w:noWrap w:val="0"/>
            <w:vAlign w:val="center"/>
          </w:tcPr>
          <w:p w14:paraId="7A6BF6A4">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310" w:type="dxa"/>
            <w:noWrap w:val="0"/>
            <w:vAlign w:val="center"/>
          </w:tcPr>
          <w:p w14:paraId="64AB354B">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0E0F50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9" w:hRule="atLeast"/>
          <w:jc w:val="center"/>
        </w:trPr>
        <w:tc>
          <w:tcPr>
            <w:tcW w:w="981" w:type="dxa"/>
            <w:noWrap w:val="0"/>
            <w:vAlign w:val="center"/>
          </w:tcPr>
          <w:p w14:paraId="2F22E84B">
            <w:pPr>
              <w:keepNext w:val="0"/>
              <w:pageBreakBefore w:val="0"/>
              <w:widowControl w:val="0"/>
              <w:wordWrap/>
              <w:overflowPunct/>
              <w:topLinePunct w:val="0"/>
              <w:bidi w:val="0"/>
              <w:spacing w:line="360" w:lineRule="auto"/>
              <w:jc w:val="center"/>
              <w:textAlignment w:val="baseline"/>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982" w:type="dxa"/>
            <w:noWrap w:val="0"/>
            <w:vAlign w:val="center"/>
          </w:tcPr>
          <w:p w14:paraId="4446CD0C">
            <w:pPr>
              <w:pStyle w:val="13"/>
              <w:keepNext w:val="0"/>
              <w:pageBreakBefore w:val="0"/>
              <w:widowControl w:val="0"/>
              <w:overflowPunct/>
              <w:topLinePunct w:val="0"/>
              <w:bidi w:val="0"/>
              <w:ind w:left="0" w:lef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质量要求</w:t>
            </w:r>
          </w:p>
        </w:tc>
        <w:tc>
          <w:tcPr>
            <w:tcW w:w="2888" w:type="dxa"/>
            <w:noWrap w:val="0"/>
            <w:vAlign w:val="center"/>
          </w:tcPr>
          <w:p w14:paraId="756D8915">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477" w:type="dxa"/>
            <w:noWrap w:val="0"/>
            <w:vAlign w:val="center"/>
          </w:tcPr>
          <w:p w14:paraId="5B39FB73">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310" w:type="dxa"/>
            <w:noWrap w:val="0"/>
            <w:vAlign w:val="center"/>
          </w:tcPr>
          <w:p w14:paraId="0AFD5780">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r w14:paraId="707D65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2" w:hRule="atLeast"/>
          <w:jc w:val="center"/>
        </w:trPr>
        <w:tc>
          <w:tcPr>
            <w:tcW w:w="981" w:type="dxa"/>
            <w:noWrap w:val="0"/>
            <w:vAlign w:val="center"/>
          </w:tcPr>
          <w:p w14:paraId="548262D5">
            <w:pPr>
              <w:keepNext w:val="0"/>
              <w:pageBreakBefore w:val="0"/>
              <w:widowControl w:val="0"/>
              <w:wordWrap/>
              <w:overflowPunct/>
              <w:topLinePunct w:val="0"/>
              <w:bidi w:val="0"/>
              <w:spacing w:line="360" w:lineRule="auto"/>
              <w:jc w:val="center"/>
              <w:textAlignment w:val="baseline"/>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982" w:type="dxa"/>
            <w:noWrap w:val="0"/>
            <w:vAlign w:val="center"/>
          </w:tcPr>
          <w:p w14:paraId="4AAABEAA">
            <w:pPr>
              <w:pStyle w:val="13"/>
              <w:keepNext w:val="0"/>
              <w:pageBreakBefore w:val="0"/>
              <w:widowControl w:val="0"/>
              <w:overflowPunct/>
              <w:topLinePunct w:val="0"/>
              <w:bidi w:val="0"/>
              <w:ind w:left="0" w:lef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w:t>
            </w:r>
          </w:p>
        </w:tc>
        <w:tc>
          <w:tcPr>
            <w:tcW w:w="2888" w:type="dxa"/>
            <w:noWrap w:val="0"/>
            <w:vAlign w:val="center"/>
          </w:tcPr>
          <w:p w14:paraId="5CE7866F">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477" w:type="dxa"/>
            <w:noWrap w:val="0"/>
            <w:vAlign w:val="center"/>
          </w:tcPr>
          <w:p w14:paraId="1E3CDDB0">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c>
          <w:tcPr>
            <w:tcW w:w="1310" w:type="dxa"/>
            <w:noWrap w:val="0"/>
            <w:vAlign w:val="center"/>
          </w:tcPr>
          <w:p w14:paraId="0D54F14F">
            <w:pPr>
              <w:keepNext w:val="0"/>
              <w:pageBreakBefore w:val="0"/>
              <w:widowControl w:val="0"/>
              <w:wordWrap/>
              <w:overflowPunct/>
              <w:topLinePunct w:val="0"/>
              <w:bidi w:val="0"/>
              <w:spacing w:line="360" w:lineRule="auto"/>
              <w:jc w:val="center"/>
              <w:textAlignment w:val="baseline"/>
              <w:rPr>
                <w:rFonts w:hint="eastAsia" w:ascii="宋体" w:hAnsi="宋体" w:eastAsia="宋体" w:cs="宋体"/>
                <w:color w:val="auto"/>
                <w:sz w:val="21"/>
                <w:szCs w:val="21"/>
                <w:highlight w:val="none"/>
              </w:rPr>
            </w:pPr>
          </w:p>
        </w:tc>
      </w:tr>
    </w:tbl>
    <w:p w14:paraId="2FF7DD5F">
      <w:pPr>
        <w:keepNext w:val="0"/>
        <w:pageBreakBefore w:val="0"/>
        <w:widowControl w:val="0"/>
        <w:overflowPunct/>
        <w:topLinePunct w:val="0"/>
        <w:bidi w:val="0"/>
        <w:rPr>
          <w:rFonts w:hint="eastAsia" w:ascii="宋体" w:hAnsi="宋体" w:eastAsia="宋体" w:cs="宋体"/>
          <w:b/>
          <w:color w:val="auto"/>
          <w:kern w:val="0"/>
          <w:sz w:val="21"/>
          <w:szCs w:val="21"/>
          <w:highlight w:val="none"/>
        </w:rPr>
      </w:pPr>
    </w:p>
    <w:p w14:paraId="3FD13902">
      <w:pPr>
        <w:pStyle w:val="31"/>
        <w:keepNext w:val="0"/>
        <w:pageBreakBefore w:val="0"/>
        <w:widowControl w:val="0"/>
        <w:overflowPunct/>
        <w:topLinePunct w:val="0"/>
        <w:bidi w:val="0"/>
        <w:rPr>
          <w:rFonts w:hint="eastAsia" w:ascii="宋体" w:hAnsi="宋体" w:eastAsia="宋体" w:cs="宋体"/>
          <w:color w:val="auto"/>
          <w:sz w:val="21"/>
          <w:szCs w:val="21"/>
          <w:highlight w:val="none"/>
        </w:rPr>
      </w:pPr>
    </w:p>
    <w:p w14:paraId="0A635B83">
      <w:pPr>
        <w:keepNext w:val="0"/>
        <w:pageBreakBefore w:val="0"/>
        <w:widowControl w:val="0"/>
        <w:wordWrap/>
        <w:overflowPunct/>
        <w:topLinePunct w:val="0"/>
        <w:bidi w:val="0"/>
        <w:spacing w:line="360" w:lineRule="auto"/>
        <w:ind w:firstLine="3360" w:firstLineChars="16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（全称并加盖公章）</w:t>
      </w:r>
    </w:p>
    <w:p w14:paraId="50A32A50">
      <w:pPr>
        <w:keepNext w:val="0"/>
        <w:pageBreakBefore w:val="0"/>
        <w:widowControl w:val="0"/>
        <w:wordWrap/>
        <w:overflowPunct/>
        <w:topLinePunct w:val="0"/>
        <w:bidi w:val="0"/>
        <w:spacing w:line="360" w:lineRule="auto"/>
        <w:ind w:firstLine="4410" w:firstLineChars="21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1"/>
          <w:szCs w:val="21"/>
          <w:highlight w:val="none"/>
        </w:rPr>
        <w:t>年    月    日</w:t>
      </w:r>
    </w:p>
    <w:p w14:paraId="1443043E">
      <w:pPr>
        <w:keepNext w:val="0"/>
        <w:pageBreakBefore w:val="0"/>
        <w:widowControl w:val="0"/>
        <w:overflowPunct/>
        <w:topLinePunct w:val="0"/>
        <w:bidi w:val="0"/>
        <w:outlineLvl w:val="9"/>
        <w:rPr>
          <w:rFonts w:hint="eastAsia" w:ascii="宋体" w:hAnsi="宋体" w:eastAsia="宋体" w:cs="宋体"/>
          <w:color w:val="auto"/>
          <w:highlight w:val="none"/>
        </w:rPr>
      </w:pPr>
    </w:p>
    <w:p w14:paraId="01B51371">
      <w:pPr>
        <w:keepNext w:val="0"/>
        <w:pageBreakBefore w:val="0"/>
        <w:widowControl w:val="0"/>
        <w:overflowPunct/>
        <w:topLinePunct w:val="0"/>
        <w:bidi w:val="0"/>
        <w:outlineLvl w:val="9"/>
        <w:rPr>
          <w:rFonts w:hint="eastAsia" w:ascii="宋体" w:hAnsi="宋体" w:eastAsia="宋体" w:cs="宋体"/>
          <w:color w:val="auto"/>
          <w:highlight w:val="none"/>
        </w:rPr>
      </w:pPr>
    </w:p>
    <w:p w14:paraId="63CC00FA">
      <w:pPr>
        <w:keepNext w:val="0"/>
        <w:pageBreakBefore w:val="0"/>
        <w:widowControl w:val="0"/>
        <w:overflowPunct/>
        <w:topLinePunct w:val="0"/>
        <w:bidi w:val="0"/>
        <w:outlineLvl w:val="9"/>
        <w:rPr>
          <w:rFonts w:hint="eastAsia" w:ascii="宋体" w:hAnsi="宋体" w:eastAsia="宋体" w:cs="宋体"/>
          <w:color w:val="auto"/>
          <w:highlight w:val="none"/>
        </w:rPr>
      </w:pPr>
    </w:p>
    <w:p w14:paraId="6CCCA408">
      <w:pPr>
        <w:keepNext w:val="0"/>
        <w:pageBreakBefore w:val="0"/>
        <w:widowControl w:val="0"/>
        <w:overflowPunct/>
        <w:topLinePunct w:val="0"/>
        <w:bidi w:val="0"/>
        <w:outlineLvl w:val="9"/>
        <w:rPr>
          <w:rFonts w:hint="eastAsia" w:ascii="宋体" w:hAnsi="宋体" w:eastAsia="宋体" w:cs="宋体"/>
          <w:color w:val="auto"/>
          <w:highlight w:val="none"/>
        </w:rPr>
      </w:pPr>
    </w:p>
    <w:p w14:paraId="68650ED4">
      <w:pPr>
        <w:keepNext w:val="0"/>
        <w:pageBreakBefore w:val="0"/>
        <w:widowControl w:val="0"/>
        <w:overflowPunct/>
        <w:topLinePunct w:val="0"/>
        <w:bidi w:val="0"/>
        <w:outlineLvl w:val="9"/>
        <w:rPr>
          <w:rFonts w:hint="eastAsia" w:ascii="宋体" w:hAnsi="宋体" w:eastAsia="宋体" w:cs="宋体"/>
          <w:color w:val="auto"/>
          <w:highlight w:val="none"/>
        </w:rPr>
      </w:pPr>
    </w:p>
    <w:p w14:paraId="7A7472C6">
      <w:pPr>
        <w:keepNext w:val="0"/>
        <w:pageBreakBefore w:val="0"/>
        <w:widowControl w:val="0"/>
        <w:overflowPunct/>
        <w:topLinePunct w:val="0"/>
        <w:bidi w:val="0"/>
        <w:outlineLvl w:val="9"/>
        <w:rPr>
          <w:rFonts w:hint="eastAsia" w:ascii="宋体" w:hAnsi="宋体" w:eastAsia="宋体" w:cs="宋体"/>
          <w:color w:val="auto"/>
          <w:highlight w:val="none"/>
        </w:rPr>
      </w:pPr>
    </w:p>
    <w:p w14:paraId="602BD040">
      <w:pPr>
        <w:keepNext w:val="0"/>
        <w:pageBreakBefore w:val="0"/>
        <w:widowControl w:val="0"/>
        <w:overflowPunct/>
        <w:topLinePunct w:val="0"/>
        <w:bidi w:val="0"/>
        <w:outlineLvl w:val="9"/>
        <w:rPr>
          <w:rFonts w:hint="eastAsia" w:ascii="宋体" w:hAnsi="宋体" w:eastAsia="宋体" w:cs="宋体"/>
          <w:color w:val="auto"/>
          <w:highlight w:val="none"/>
        </w:rPr>
      </w:pPr>
    </w:p>
    <w:p w14:paraId="28936226">
      <w:pPr>
        <w:keepNext w:val="0"/>
        <w:pageBreakBefore w:val="0"/>
        <w:widowControl w:val="0"/>
        <w:overflowPunct/>
        <w:topLinePunct w:val="0"/>
        <w:bidi w:val="0"/>
        <w:outlineLvl w:val="9"/>
        <w:rPr>
          <w:rFonts w:hint="eastAsia" w:ascii="宋体" w:hAnsi="宋体" w:eastAsia="宋体" w:cs="宋体"/>
          <w:color w:val="auto"/>
          <w:highlight w:val="none"/>
        </w:rPr>
      </w:pPr>
    </w:p>
    <w:p w14:paraId="4E851B2D">
      <w:pPr>
        <w:keepNext w:val="0"/>
        <w:pageBreakBefore w:val="0"/>
        <w:widowControl w:val="0"/>
        <w:overflowPunct/>
        <w:topLinePunct w:val="0"/>
        <w:bidi w:val="0"/>
        <w:outlineLvl w:val="9"/>
        <w:rPr>
          <w:rFonts w:hint="eastAsia" w:ascii="宋体" w:hAnsi="宋体" w:eastAsia="宋体" w:cs="宋体"/>
          <w:color w:val="auto"/>
          <w:highlight w:val="none"/>
        </w:rPr>
      </w:pPr>
    </w:p>
    <w:p w14:paraId="41A3FBDB">
      <w:pPr>
        <w:keepNext w:val="0"/>
        <w:pageBreakBefore w:val="0"/>
        <w:widowControl w:val="0"/>
        <w:overflowPunct/>
        <w:topLinePunct w:val="0"/>
        <w:bidi w:val="0"/>
        <w:outlineLvl w:val="9"/>
        <w:rPr>
          <w:rFonts w:hint="eastAsia" w:ascii="宋体" w:hAnsi="宋体" w:eastAsia="宋体" w:cs="宋体"/>
          <w:color w:val="auto"/>
          <w:highlight w:val="none"/>
        </w:rPr>
      </w:pPr>
    </w:p>
    <w:p w14:paraId="40CD9C9C">
      <w:pPr>
        <w:keepNext w:val="0"/>
        <w:pageBreakBefore w:val="0"/>
        <w:widowControl w:val="0"/>
        <w:overflowPunct/>
        <w:topLinePunct w:val="0"/>
        <w:bidi w:val="0"/>
        <w:outlineLvl w:val="9"/>
        <w:rPr>
          <w:rFonts w:hint="eastAsia" w:ascii="宋体" w:hAnsi="宋体" w:eastAsia="宋体" w:cs="宋体"/>
          <w:color w:val="auto"/>
          <w:highlight w:val="none"/>
        </w:rPr>
      </w:pPr>
    </w:p>
    <w:p w14:paraId="086CDF95">
      <w:pPr>
        <w:keepNext w:val="0"/>
        <w:pageBreakBefore w:val="0"/>
        <w:widowControl w:val="0"/>
        <w:overflowPunct/>
        <w:topLinePunct w:val="0"/>
        <w:bidi w:val="0"/>
        <w:outlineLvl w:val="9"/>
        <w:rPr>
          <w:rFonts w:hint="eastAsia" w:ascii="宋体" w:hAnsi="宋体" w:eastAsia="宋体" w:cs="宋体"/>
          <w:color w:val="auto"/>
          <w:highlight w:val="none"/>
        </w:rPr>
      </w:pPr>
    </w:p>
    <w:p w14:paraId="4687954A">
      <w:pPr>
        <w:keepNext w:val="0"/>
        <w:pageBreakBefore w:val="0"/>
        <w:widowControl w:val="0"/>
        <w:overflowPunct/>
        <w:topLinePunct w:val="0"/>
        <w:bidi w:val="0"/>
        <w:outlineLvl w:val="9"/>
        <w:rPr>
          <w:rFonts w:hint="eastAsia" w:ascii="宋体" w:hAnsi="宋体" w:eastAsia="宋体" w:cs="宋体"/>
          <w:color w:val="auto"/>
          <w:highlight w:val="none"/>
        </w:rPr>
      </w:pPr>
    </w:p>
    <w:p w14:paraId="14741946">
      <w:pPr>
        <w:keepNext w:val="0"/>
        <w:pageBreakBefore w:val="0"/>
        <w:widowControl w:val="0"/>
        <w:overflowPunct/>
        <w:topLinePunct w:val="0"/>
        <w:bidi w:val="0"/>
        <w:outlineLvl w:val="9"/>
        <w:rPr>
          <w:rFonts w:hint="eastAsia" w:ascii="宋体" w:hAnsi="宋体" w:eastAsia="宋体" w:cs="宋体"/>
          <w:color w:val="auto"/>
          <w:highlight w:val="none"/>
        </w:rPr>
      </w:pPr>
    </w:p>
    <w:p w14:paraId="5FAC0DBC">
      <w:pPr>
        <w:keepNext w:val="0"/>
        <w:pageBreakBefore w:val="0"/>
        <w:widowControl w:val="0"/>
        <w:overflowPunct/>
        <w:topLinePunct w:val="0"/>
        <w:bidi w:val="0"/>
        <w:outlineLvl w:val="9"/>
        <w:rPr>
          <w:rFonts w:hint="eastAsia" w:ascii="宋体" w:hAnsi="宋体" w:eastAsia="宋体" w:cs="宋体"/>
          <w:color w:val="auto"/>
          <w:highlight w:val="none"/>
        </w:rPr>
      </w:pPr>
    </w:p>
    <w:p w14:paraId="4006A082">
      <w:pPr>
        <w:keepNext w:val="0"/>
        <w:pageBreakBefore w:val="0"/>
        <w:widowControl w:val="0"/>
        <w:overflowPunct/>
        <w:topLinePunct w:val="0"/>
        <w:bidi w:val="0"/>
        <w:rPr>
          <w:rFonts w:hint="eastAsia" w:ascii="宋体" w:hAnsi="宋体" w:eastAsia="宋体" w:cs="宋体"/>
          <w:b/>
          <w:color w:val="auto"/>
          <w:sz w:val="28"/>
          <w:highlight w:val="none"/>
        </w:rPr>
      </w:pPr>
      <w:bookmarkStart w:id="85" w:name="_Toc28621"/>
      <w:bookmarkStart w:id="86" w:name="_Toc31526"/>
      <w:r>
        <w:rPr>
          <w:rFonts w:hint="eastAsia" w:ascii="宋体" w:hAnsi="宋体" w:eastAsia="宋体" w:cs="宋体"/>
          <w:b/>
          <w:color w:val="auto"/>
          <w:sz w:val="28"/>
          <w:highlight w:val="none"/>
        </w:rPr>
        <w:br w:type="page"/>
      </w:r>
    </w:p>
    <w:p w14:paraId="40257B96">
      <w:pPr>
        <w:pStyle w:val="5"/>
        <w:keepNext w:val="0"/>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87" w:name="_Toc29406"/>
      <w:r>
        <w:rPr>
          <w:rFonts w:hint="eastAsia" w:ascii="宋体" w:hAnsi="宋体" w:eastAsia="宋体" w:cs="宋体"/>
          <w:color w:val="auto"/>
          <w:sz w:val="28"/>
          <w:szCs w:val="28"/>
          <w:highlight w:val="none"/>
          <w:lang w:val="en-US" w:eastAsia="zh-CN"/>
        </w:rPr>
        <w:t>附件7         法定代表人身份证明（格式）</w:t>
      </w:r>
      <w:bookmarkEnd w:id="85"/>
      <w:bookmarkEnd w:id="86"/>
      <w:bookmarkEnd w:id="87"/>
    </w:p>
    <w:p w14:paraId="566EF75F">
      <w:pPr>
        <w:keepNext w:val="0"/>
        <w:pageBreakBefore w:val="0"/>
        <w:widowControl w:val="0"/>
        <w:wordWrap w:val="0"/>
        <w:overflowPunct/>
        <w:topLinePunct w:val="0"/>
        <w:bidi w:val="0"/>
        <w:spacing w:line="460" w:lineRule="exact"/>
        <w:jc w:val="left"/>
        <w:rPr>
          <w:rFonts w:hint="eastAsia" w:ascii="宋体" w:hAnsi="宋体" w:eastAsia="宋体" w:cs="宋体"/>
          <w:color w:val="auto"/>
          <w:kern w:val="0"/>
          <w:sz w:val="24"/>
          <w:highlight w:val="none"/>
        </w:rPr>
      </w:pPr>
    </w:p>
    <w:p w14:paraId="64E6DF5B">
      <w:pPr>
        <w:keepNext w:val="0"/>
        <w:pageBreakBefore w:val="0"/>
        <w:widowControl w:val="0"/>
        <w:wordWrap w:val="0"/>
        <w:overflowPunct/>
        <w:topLinePunct w:val="0"/>
        <w:bidi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名称：</w:t>
      </w:r>
      <w:r>
        <w:rPr>
          <w:rFonts w:hint="eastAsia" w:ascii="宋体" w:hAnsi="宋体" w:eastAsia="宋体" w:cs="宋体"/>
          <w:color w:val="auto"/>
          <w:kern w:val="0"/>
          <w:szCs w:val="21"/>
          <w:highlight w:val="none"/>
          <w:u w:val="single"/>
          <w:lang w:val="en-US" w:eastAsia="zh-CN"/>
        </w:rPr>
        <w:t xml:space="preserve">                                </w:t>
      </w:r>
    </w:p>
    <w:p w14:paraId="718D7915">
      <w:pPr>
        <w:keepNext w:val="0"/>
        <w:pageBreakBefore w:val="0"/>
        <w:widowControl w:val="0"/>
        <w:wordWrap w:val="0"/>
        <w:overflowPunct/>
        <w:topLinePunct w:val="0"/>
        <w:bidi w:val="0"/>
        <w:spacing w:line="460" w:lineRule="exact"/>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highlight w:val="none"/>
        </w:rPr>
        <w:t>地址：</w:t>
      </w:r>
      <w:r>
        <w:rPr>
          <w:rFonts w:hint="eastAsia" w:ascii="宋体" w:hAnsi="宋体" w:eastAsia="宋体" w:cs="宋体"/>
          <w:color w:val="auto"/>
          <w:kern w:val="0"/>
          <w:szCs w:val="21"/>
          <w:highlight w:val="none"/>
          <w:u w:val="single"/>
          <w:lang w:val="en-US" w:eastAsia="zh-CN"/>
        </w:rPr>
        <w:t xml:space="preserve">                                        </w:t>
      </w:r>
    </w:p>
    <w:p w14:paraId="2C11F584">
      <w:pPr>
        <w:keepNext w:val="0"/>
        <w:pageBreakBefore w:val="0"/>
        <w:widowControl w:val="0"/>
        <w:wordWrap w:val="0"/>
        <w:overflowPunct/>
        <w:topLinePunct w:val="0"/>
        <w:bidi w:val="0"/>
        <w:spacing w:line="460" w:lineRule="exact"/>
        <w:ind w:firstLine="480" w:firstLineChars="200"/>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highlight w:val="none"/>
        </w:rPr>
        <w:t>成立时间：</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w:t>
      </w:r>
      <w:r>
        <w:rPr>
          <w:rFonts w:hint="eastAsia" w:ascii="宋体" w:hAnsi="宋体" w:eastAsia="宋体" w:cs="宋体"/>
          <w:color w:val="auto"/>
          <w:kern w:val="0"/>
          <w:sz w:val="24"/>
          <w:szCs w:val="20"/>
          <w:highlight w:val="none"/>
        </w:rPr>
        <w:t>年</w:t>
      </w:r>
      <w:r>
        <w:rPr>
          <w:rFonts w:hint="eastAsia" w:ascii="宋体" w:hAnsi="宋体" w:eastAsia="宋体" w:cs="宋体"/>
          <w:color w:val="auto"/>
          <w:kern w:val="0"/>
          <w:sz w:val="24"/>
          <w:szCs w:val="20"/>
          <w:highlight w:val="none"/>
          <w:lang w:val="en-US" w:eastAsia="zh-CN"/>
        </w:rPr>
        <w:t xml:space="preserve">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月</w:t>
      </w:r>
      <w:r>
        <w:rPr>
          <w:rFonts w:hint="eastAsia" w:ascii="宋体" w:hAnsi="宋体" w:eastAsia="宋体" w:cs="宋体"/>
          <w:color w:val="auto"/>
          <w:kern w:val="0"/>
          <w:sz w:val="24"/>
          <w:szCs w:val="20"/>
          <w:highlight w:val="none"/>
          <w:lang w:val="en-US" w:eastAsia="zh-CN"/>
        </w:rPr>
        <w:t xml:space="preserve">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日</w:t>
      </w:r>
    </w:p>
    <w:p w14:paraId="63386B5D">
      <w:pPr>
        <w:keepNext w:val="0"/>
        <w:pageBreakBefore w:val="0"/>
        <w:widowControl w:val="0"/>
        <w:wordWrap w:val="0"/>
        <w:overflowPunct/>
        <w:topLinePunct w:val="0"/>
        <w:bidi w:val="0"/>
        <w:spacing w:line="460" w:lineRule="exact"/>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szCs w:val="20"/>
          <w:highlight w:val="none"/>
        </w:rPr>
        <w:t>经营期限：</w:t>
      </w:r>
      <w:r>
        <w:rPr>
          <w:rFonts w:hint="eastAsia" w:ascii="宋体" w:hAnsi="宋体" w:eastAsia="宋体" w:cs="宋体"/>
          <w:color w:val="auto"/>
          <w:kern w:val="0"/>
          <w:szCs w:val="21"/>
          <w:highlight w:val="none"/>
          <w:u w:val="single"/>
          <w:lang w:val="en-US" w:eastAsia="zh-CN"/>
        </w:rPr>
        <w:t xml:space="preserve">                        </w:t>
      </w:r>
    </w:p>
    <w:p w14:paraId="2F81B036">
      <w:pPr>
        <w:keepNext w:val="0"/>
        <w:pageBreakBefore w:val="0"/>
        <w:widowControl w:val="0"/>
        <w:wordWrap w:val="0"/>
        <w:overflowPunct/>
        <w:topLinePunct w:val="0"/>
        <w:bidi w:val="0"/>
        <w:spacing w:line="460" w:lineRule="exact"/>
        <w:ind w:firstLine="48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 w:val="24"/>
          <w:highlight w:val="none"/>
        </w:rPr>
        <w:t>姓名：</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w:t>
      </w:r>
      <w:r>
        <w:rPr>
          <w:rFonts w:hint="eastAsia" w:ascii="宋体" w:hAnsi="宋体" w:eastAsia="宋体" w:cs="宋体"/>
          <w:color w:val="auto"/>
          <w:kern w:val="0"/>
          <w:sz w:val="24"/>
          <w:szCs w:val="20"/>
          <w:highlight w:val="none"/>
        </w:rPr>
        <w:t>，性别：</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，年龄：</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，职务：</w:t>
      </w:r>
      <w:r>
        <w:rPr>
          <w:rFonts w:hint="eastAsia" w:ascii="宋体" w:hAnsi="宋体" w:eastAsia="宋体" w:cs="宋体"/>
          <w:color w:val="auto"/>
          <w:kern w:val="0"/>
          <w:szCs w:val="21"/>
          <w:highlight w:val="none"/>
          <w:u w:val="single"/>
          <w:lang w:val="en-US" w:eastAsia="zh-CN"/>
        </w:rPr>
        <w:t xml:space="preserve">        </w:t>
      </w:r>
    </w:p>
    <w:p w14:paraId="7C90C00B">
      <w:pPr>
        <w:keepNext w:val="0"/>
        <w:pageBreakBefore w:val="0"/>
        <w:widowControl w:val="0"/>
        <w:wordWrap w:val="0"/>
        <w:overflowPunct/>
        <w:topLinePunct w:val="0"/>
        <w:bidi w:val="0"/>
        <w:spacing w:line="460" w:lineRule="exact"/>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szCs w:val="20"/>
          <w:highlight w:val="none"/>
        </w:rPr>
        <w:t>系</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w:t>
      </w:r>
      <w:r>
        <w:rPr>
          <w:rFonts w:hint="eastAsia" w:ascii="宋体" w:hAnsi="宋体" w:eastAsia="宋体" w:cs="宋体"/>
          <w:color w:val="auto"/>
          <w:kern w:val="0"/>
          <w:sz w:val="24"/>
          <w:szCs w:val="20"/>
          <w:highlight w:val="none"/>
          <w:lang w:eastAsia="zh-CN"/>
        </w:rPr>
        <w:t>供应商</w:t>
      </w:r>
      <w:r>
        <w:rPr>
          <w:rFonts w:hint="eastAsia" w:ascii="宋体" w:hAnsi="宋体" w:eastAsia="宋体" w:cs="宋体"/>
          <w:color w:val="auto"/>
          <w:kern w:val="0"/>
          <w:sz w:val="24"/>
          <w:szCs w:val="20"/>
          <w:highlight w:val="none"/>
        </w:rPr>
        <w:t>名称）的法定代表人。</w:t>
      </w:r>
    </w:p>
    <w:p w14:paraId="4FE062B6">
      <w:pPr>
        <w:keepNext w:val="0"/>
        <w:pageBreakBefore w:val="0"/>
        <w:widowControl w:val="0"/>
        <w:wordWrap w:val="0"/>
        <w:overflowPunct/>
        <w:topLinePunct w:val="0"/>
        <w:bidi w:val="0"/>
        <w:spacing w:line="460" w:lineRule="exact"/>
        <w:jc w:val="left"/>
        <w:rPr>
          <w:rFonts w:hint="eastAsia" w:ascii="宋体" w:hAnsi="宋体" w:eastAsia="宋体" w:cs="宋体"/>
          <w:color w:val="auto"/>
          <w:kern w:val="0"/>
          <w:sz w:val="24"/>
          <w:szCs w:val="20"/>
          <w:highlight w:val="none"/>
        </w:rPr>
      </w:pPr>
    </w:p>
    <w:p w14:paraId="30B3A2FC">
      <w:pPr>
        <w:keepNext w:val="0"/>
        <w:pageBreakBefore w:val="0"/>
        <w:widowControl w:val="0"/>
        <w:wordWrap w:val="0"/>
        <w:overflowPunct/>
        <w:topLinePunct w:val="0"/>
        <w:bidi w:val="0"/>
        <w:spacing w:line="460" w:lineRule="exact"/>
        <w:ind w:firstLine="480" w:firstLineChars="200"/>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szCs w:val="20"/>
          <w:highlight w:val="none"/>
        </w:rPr>
        <w:t>特此证明。</w:t>
      </w:r>
    </w:p>
    <w:p w14:paraId="5CBF5780">
      <w:pPr>
        <w:keepNext w:val="0"/>
        <w:pageBreakBefore w:val="0"/>
        <w:widowControl w:val="0"/>
        <w:wordWrap w:val="0"/>
        <w:overflowPunct/>
        <w:topLinePunct w:val="0"/>
        <w:bidi w:val="0"/>
        <w:spacing w:line="460" w:lineRule="exact"/>
        <w:jc w:val="left"/>
        <w:rPr>
          <w:rFonts w:hint="eastAsia" w:ascii="宋体" w:hAnsi="宋体" w:eastAsia="宋体" w:cs="宋体"/>
          <w:color w:val="auto"/>
          <w:kern w:val="0"/>
          <w:sz w:val="24"/>
          <w:szCs w:val="20"/>
          <w:highlight w:val="none"/>
        </w:rPr>
      </w:pPr>
    </w:p>
    <w:p w14:paraId="5DBEE591">
      <w:pPr>
        <w:keepNext w:val="0"/>
        <w:pageBreakBefore w:val="0"/>
        <w:widowControl w:val="0"/>
        <w:wordWrap w:val="0"/>
        <w:overflowPunct/>
        <w:topLinePunct w:val="0"/>
        <w:bidi w:val="0"/>
        <w:spacing w:beforeLines="100" w:afterLines="100" w:line="480" w:lineRule="exact"/>
        <w:jc w:val="center"/>
        <w:rPr>
          <w:rFonts w:hint="eastAsia" w:ascii="宋体" w:hAnsi="宋体" w:eastAsia="宋体" w:cs="宋体"/>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0"/>
      </w:tblGrid>
      <w:tr w14:paraId="2952C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5" w:hRule="atLeast"/>
        </w:trPr>
        <w:tc>
          <w:tcPr>
            <w:tcW w:w="6860" w:type="dxa"/>
            <w:tcBorders>
              <w:top w:val="single" w:color="auto" w:sz="4" w:space="0"/>
              <w:left w:val="single" w:color="auto" w:sz="4" w:space="0"/>
              <w:bottom w:val="single" w:color="auto" w:sz="4" w:space="0"/>
              <w:right w:val="single" w:color="auto" w:sz="4" w:space="0"/>
            </w:tcBorders>
          </w:tcPr>
          <w:p w14:paraId="0AA5E577">
            <w:pPr>
              <w:keepNext w:val="0"/>
              <w:pageBreakBefore w:val="0"/>
              <w:widowControl w:val="0"/>
              <w:overflowPunct/>
              <w:topLinePunct w:val="0"/>
              <w:bidi w:val="0"/>
              <w:spacing w:line="480" w:lineRule="exact"/>
              <w:jc w:val="left"/>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此处请粘贴法定代表人身份证复印件</w:t>
            </w:r>
          </w:p>
          <w:p w14:paraId="608D1BA3">
            <w:pPr>
              <w:keepNext w:val="0"/>
              <w:pageBreakBefore w:val="0"/>
              <w:widowControl w:val="0"/>
              <w:overflowPunct/>
              <w:topLinePunct w:val="0"/>
              <w:bidi w:val="0"/>
              <w:spacing w:line="480" w:lineRule="exact"/>
              <w:jc w:val="left"/>
              <w:rPr>
                <w:rFonts w:hint="eastAsia" w:ascii="宋体" w:hAnsi="宋体" w:eastAsia="宋体" w:cs="宋体"/>
                <w:color w:val="auto"/>
                <w:kern w:val="0"/>
                <w:sz w:val="24"/>
                <w:highlight w:val="none"/>
              </w:rPr>
            </w:pPr>
          </w:p>
          <w:p w14:paraId="425F1145">
            <w:pPr>
              <w:keepNext w:val="0"/>
              <w:pageBreakBefore w:val="0"/>
              <w:widowControl w:val="0"/>
              <w:overflowPunct/>
              <w:topLinePunct w:val="0"/>
              <w:bidi w:val="0"/>
              <w:spacing w:line="480" w:lineRule="exact"/>
              <w:jc w:val="left"/>
              <w:rPr>
                <w:rFonts w:hint="eastAsia" w:ascii="宋体" w:hAnsi="宋体" w:eastAsia="宋体" w:cs="宋体"/>
                <w:color w:val="auto"/>
                <w:kern w:val="0"/>
                <w:sz w:val="24"/>
                <w:highlight w:val="none"/>
              </w:rPr>
            </w:pPr>
          </w:p>
        </w:tc>
      </w:tr>
    </w:tbl>
    <w:p w14:paraId="43EC0505">
      <w:pPr>
        <w:keepNext w:val="0"/>
        <w:pageBreakBefore w:val="0"/>
        <w:widowControl w:val="0"/>
        <w:wordWrap w:val="0"/>
        <w:overflowPunct/>
        <w:topLinePunct w:val="0"/>
        <w:bidi w:val="0"/>
        <w:spacing w:beforeLines="100" w:afterLines="100" w:line="480" w:lineRule="exact"/>
        <w:jc w:val="center"/>
        <w:rPr>
          <w:rFonts w:hint="eastAsia" w:ascii="宋体" w:hAnsi="宋体" w:eastAsia="宋体" w:cs="宋体"/>
          <w:b/>
          <w:color w:val="auto"/>
          <w:kern w:val="0"/>
          <w:sz w:val="24"/>
          <w:highlight w:val="none"/>
        </w:rPr>
      </w:pPr>
    </w:p>
    <w:p w14:paraId="7DE72753">
      <w:pPr>
        <w:keepNext w:val="0"/>
        <w:pageBreakBefore w:val="0"/>
        <w:widowControl w:val="0"/>
        <w:wordWrap w:val="0"/>
        <w:overflowPunct/>
        <w:topLinePunct w:val="0"/>
        <w:bidi w:val="0"/>
        <w:spacing w:beforeLines="100" w:afterLines="100" w:line="480" w:lineRule="exact"/>
        <w:jc w:val="center"/>
        <w:rPr>
          <w:rFonts w:hint="eastAsia" w:ascii="宋体" w:hAnsi="宋体" w:eastAsia="宋体" w:cs="宋体"/>
          <w:b/>
          <w:color w:val="auto"/>
          <w:kern w:val="0"/>
          <w:sz w:val="36"/>
          <w:szCs w:val="36"/>
          <w:highlight w:val="none"/>
        </w:rPr>
      </w:pPr>
    </w:p>
    <w:p w14:paraId="42F8CBEC">
      <w:pPr>
        <w:keepNext w:val="0"/>
        <w:pageBreakBefore w:val="0"/>
        <w:widowControl w:val="0"/>
        <w:wordWrap w:val="0"/>
        <w:overflowPunct/>
        <w:topLinePunct w:val="0"/>
        <w:bidi w:val="0"/>
        <w:spacing w:beforeLines="100" w:afterLines="100" w:line="480" w:lineRule="exact"/>
        <w:jc w:val="center"/>
        <w:rPr>
          <w:rFonts w:hint="eastAsia" w:ascii="宋体" w:hAnsi="宋体" w:eastAsia="宋体" w:cs="宋体"/>
          <w:b/>
          <w:color w:val="auto"/>
          <w:kern w:val="0"/>
          <w:sz w:val="36"/>
          <w:szCs w:val="36"/>
          <w:highlight w:val="none"/>
        </w:rPr>
      </w:pPr>
    </w:p>
    <w:p w14:paraId="7F75A711">
      <w:pPr>
        <w:keepNext w:val="0"/>
        <w:pageBreakBefore w:val="0"/>
        <w:widowControl w:val="0"/>
        <w:wordWrap w:val="0"/>
        <w:overflowPunct/>
        <w:topLinePunct w:val="0"/>
        <w:bidi w:val="0"/>
        <w:spacing w:line="480" w:lineRule="exact"/>
        <w:jc w:val="right"/>
        <w:rPr>
          <w:rFonts w:hint="eastAsia" w:ascii="宋体" w:hAnsi="宋体" w:eastAsia="宋体" w:cs="宋体"/>
          <w:color w:val="auto"/>
          <w:kern w:val="0"/>
          <w:sz w:val="24"/>
          <w:highlight w:val="none"/>
        </w:rPr>
      </w:pPr>
    </w:p>
    <w:p w14:paraId="4EC9ECDA">
      <w:pPr>
        <w:keepNext w:val="0"/>
        <w:pageBreakBefore w:val="0"/>
        <w:widowControl w:val="0"/>
        <w:wordWrap w:val="0"/>
        <w:overflowPunct/>
        <w:topLinePunct w:val="0"/>
        <w:bidi w:val="0"/>
        <w:spacing w:line="480" w:lineRule="exact"/>
        <w:jc w:val="right"/>
        <w:rPr>
          <w:rFonts w:hint="eastAsia" w:ascii="宋体" w:hAnsi="宋体" w:eastAsia="宋体" w:cs="宋体"/>
          <w:color w:val="auto"/>
          <w:kern w:val="0"/>
          <w:sz w:val="24"/>
          <w:highlight w:val="none"/>
        </w:rPr>
      </w:pPr>
    </w:p>
    <w:p w14:paraId="137FFC23">
      <w:pPr>
        <w:keepNext w:val="0"/>
        <w:pageBreakBefore w:val="0"/>
        <w:widowControl w:val="0"/>
        <w:wordWrap w:val="0"/>
        <w:overflowPunct/>
        <w:topLinePunct w:val="0"/>
        <w:bidi w:val="0"/>
        <w:snapToGrid w:val="0"/>
        <w:spacing w:line="460" w:lineRule="exact"/>
        <w:ind w:firstLine="2760" w:firstLineChars="115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（全称并加盖公章）</w:t>
      </w:r>
    </w:p>
    <w:p w14:paraId="3C284A57">
      <w:pPr>
        <w:keepNext w:val="0"/>
        <w:pageBreakBefore w:val="0"/>
        <w:widowControl w:val="0"/>
        <w:wordWrap w:val="0"/>
        <w:overflowPunct/>
        <w:topLinePunct w:val="0"/>
        <w:bidi w:val="0"/>
        <w:spacing w:line="460" w:lineRule="exact"/>
        <w:ind w:left="3780" w:leftChars="1800"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年    月    日</w:t>
      </w:r>
    </w:p>
    <w:p w14:paraId="06A5A9BF">
      <w:pPr>
        <w:keepNext w:val="0"/>
        <w:pageBreakBefore w:val="0"/>
        <w:widowControl w:val="0"/>
        <w:overflowPunct/>
        <w:topLinePunct w:val="0"/>
        <w:bidi w:val="0"/>
        <w:rPr>
          <w:rFonts w:hint="eastAsia" w:ascii="宋体" w:hAnsi="宋体" w:eastAsia="宋体" w:cs="宋体"/>
          <w:color w:val="auto"/>
          <w:highlight w:val="none"/>
        </w:rPr>
      </w:pPr>
    </w:p>
    <w:p w14:paraId="24E0BC4A">
      <w:pPr>
        <w:keepNext w:val="0"/>
        <w:pageBreakBefore w:val="0"/>
        <w:widowControl w:val="0"/>
        <w:overflowPunct/>
        <w:topLinePunct w:val="0"/>
        <w:bidi w:val="0"/>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0DDD2863">
      <w:pPr>
        <w:pStyle w:val="5"/>
        <w:keepNext w:val="0"/>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88" w:name="_Toc12939"/>
      <w:bookmarkStart w:id="89" w:name="_Toc13976"/>
      <w:bookmarkStart w:id="90" w:name="_Toc30519"/>
      <w:r>
        <w:rPr>
          <w:rFonts w:hint="eastAsia" w:ascii="宋体" w:hAnsi="宋体" w:eastAsia="宋体" w:cs="宋体"/>
          <w:color w:val="auto"/>
          <w:sz w:val="28"/>
          <w:szCs w:val="28"/>
          <w:highlight w:val="none"/>
          <w:lang w:val="en-US" w:eastAsia="zh-CN"/>
        </w:rPr>
        <w:t>附件8         法定代表人授权书（格式）</w:t>
      </w:r>
      <w:bookmarkEnd w:id="88"/>
      <w:bookmarkEnd w:id="89"/>
      <w:bookmarkEnd w:id="90"/>
    </w:p>
    <w:p w14:paraId="26F37052">
      <w:pPr>
        <w:keepNext w:val="0"/>
        <w:pageBreakBefore w:val="0"/>
        <w:widowControl w:val="0"/>
        <w:tabs>
          <w:tab w:val="left" w:pos="420"/>
          <w:tab w:val="left" w:pos="2160"/>
        </w:tabs>
        <w:wordWrap w:val="0"/>
        <w:overflowPunct/>
        <w:topLinePunct w:val="0"/>
        <w:bidi w:val="0"/>
        <w:spacing w:line="460" w:lineRule="exact"/>
        <w:ind w:firstLine="480" w:firstLineChars="200"/>
        <w:jc w:val="left"/>
        <w:rPr>
          <w:rFonts w:hint="eastAsia" w:ascii="宋体" w:hAnsi="宋体" w:eastAsia="宋体" w:cs="宋体"/>
          <w:color w:val="auto"/>
          <w:kern w:val="0"/>
          <w:sz w:val="24"/>
          <w:highlight w:val="none"/>
        </w:rPr>
      </w:pPr>
    </w:p>
    <w:p w14:paraId="20CFE6F1">
      <w:pPr>
        <w:keepNext w:val="0"/>
        <w:pageBreakBefore w:val="0"/>
        <w:widowControl w:val="0"/>
        <w:wordWrap w:val="0"/>
        <w:overflowPunct/>
        <w:topLinePunct w:val="0"/>
        <w:bidi w:val="0"/>
        <w:snapToGrid w:val="0"/>
        <w:spacing w:line="460" w:lineRule="exact"/>
        <w:jc w:val="left"/>
        <w:rPr>
          <w:rFonts w:hint="eastAsia" w:ascii="宋体" w:hAnsi="宋体" w:eastAsia="宋体" w:cs="宋体"/>
          <w:b/>
          <w:bCs/>
          <w:color w:val="auto"/>
          <w:kern w:val="0"/>
          <w:sz w:val="24"/>
          <w:highlight w:val="none"/>
        </w:rPr>
      </w:pPr>
      <w:r>
        <w:rPr>
          <w:rFonts w:hint="eastAsia" w:ascii="宋体" w:hAnsi="宋体" w:eastAsia="宋体" w:cs="宋体"/>
          <w:bCs/>
          <w:color w:val="auto"/>
          <w:kern w:val="0"/>
          <w:sz w:val="24"/>
          <w:highlight w:val="none"/>
        </w:rPr>
        <w:t>致：</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eastAsia="zh-CN"/>
        </w:rPr>
        <w:t>采购人</w:t>
      </w:r>
      <w:r>
        <w:rPr>
          <w:rFonts w:hint="eastAsia" w:ascii="宋体" w:hAnsi="宋体" w:eastAsia="宋体" w:cs="宋体"/>
          <w:color w:val="auto"/>
          <w:kern w:val="0"/>
          <w:sz w:val="24"/>
          <w:highlight w:val="none"/>
        </w:rPr>
        <w:t>名称）：</w:t>
      </w:r>
    </w:p>
    <w:p w14:paraId="07D8310C">
      <w:pPr>
        <w:keepNext w:val="0"/>
        <w:pageBreakBefore w:val="0"/>
        <w:widowControl w:val="0"/>
        <w:wordWrap w:val="0"/>
        <w:overflowPunct/>
        <w:topLinePunct w:val="0"/>
        <w:bidi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我</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（姓名）系</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 xml:space="preserve">名称）的法定代表人，现委托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（姓名）为我方代理人。代理人根据本授权，以我方的名义参加</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项目的投标活动，并代表我方全权办理针对上述项目的</w:t>
      </w:r>
      <w:r>
        <w:rPr>
          <w:rFonts w:hint="eastAsia" w:ascii="宋体" w:hAnsi="宋体" w:eastAsia="宋体" w:cs="宋体"/>
          <w:color w:val="auto"/>
          <w:kern w:val="0"/>
          <w:sz w:val="24"/>
          <w:highlight w:val="none"/>
          <w:lang w:val="en-US" w:eastAsia="zh-CN"/>
        </w:rPr>
        <w:t>磋商</w:t>
      </w:r>
      <w:r>
        <w:rPr>
          <w:rFonts w:hint="eastAsia" w:ascii="宋体" w:hAnsi="宋体" w:eastAsia="宋体" w:cs="宋体"/>
          <w:color w:val="auto"/>
          <w:kern w:val="0"/>
          <w:sz w:val="24"/>
          <w:highlight w:val="none"/>
        </w:rPr>
        <w:t>、开标、评</w:t>
      </w:r>
      <w:r>
        <w:rPr>
          <w:rFonts w:hint="eastAsia" w:ascii="宋体" w:hAnsi="宋体" w:eastAsia="宋体" w:cs="宋体"/>
          <w:color w:val="auto"/>
          <w:kern w:val="0"/>
          <w:sz w:val="24"/>
          <w:highlight w:val="none"/>
          <w:lang w:val="en-US" w:eastAsia="zh-CN"/>
        </w:rPr>
        <w:t>审</w:t>
      </w:r>
      <w:r>
        <w:rPr>
          <w:rFonts w:hint="eastAsia" w:ascii="宋体" w:hAnsi="宋体" w:eastAsia="宋体" w:cs="宋体"/>
          <w:color w:val="auto"/>
          <w:kern w:val="0"/>
          <w:sz w:val="24"/>
          <w:highlight w:val="none"/>
        </w:rPr>
        <w:t>、签约等具体事务和签署相关文件。</w:t>
      </w:r>
    </w:p>
    <w:p w14:paraId="3311EE74">
      <w:pPr>
        <w:keepNext w:val="0"/>
        <w:pageBreakBefore w:val="0"/>
        <w:widowControl w:val="0"/>
        <w:wordWrap w:val="0"/>
        <w:overflowPunct/>
        <w:topLinePunct w:val="0"/>
        <w:bidi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14:paraId="2E14D7BF">
      <w:pPr>
        <w:keepNext w:val="0"/>
        <w:pageBreakBefore w:val="0"/>
        <w:widowControl w:val="0"/>
        <w:wordWrap w:val="0"/>
        <w:overflowPunct/>
        <w:topLinePunct w:val="0"/>
        <w:bidi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如果本次采购活动现场变更采购方式，本授权书有效。</w:t>
      </w:r>
    </w:p>
    <w:p w14:paraId="44AA202C">
      <w:pPr>
        <w:keepNext w:val="0"/>
        <w:pageBreakBefore w:val="0"/>
        <w:widowControl w:val="0"/>
        <w:wordWrap w:val="0"/>
        <w:overflowPunct/>
        <w:topLinePunct w:val="0"/>
        <w:bidi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代理人无转委托权。</w:t>
      </w:r>
    </w:p>
    <w:p w14:paraId="7CE853A4">
      <w:pPr>
        <w:keepNext w:val="0"/>
        <w:pageBreakBefore w:val="0"/>
        <w:widowControl w:val="0"/>
        <w:wordWrap w:val="0"/>
        <w:overflowPunct/>
        <w:topLinePunct w:val="0"/>
        <w:bidi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委托期限：</w:t>
      </w:r>
    </w:p>
    <w:p w14:paraId="409406BE">
      <w:pPr>
        <w:keepNext w:val="0"/>
        <w:pageBreakBefore w:val="0"/>
        <w:widowControl w:val="0"/>
        <w:wordWrap w:val="0"/>
        <w:overflowPunct/>
        <w:topLinePunct w:val="0"/>
        <w:bidi w:val="0"/>
        <w:snapToGrid w:val="0"/>
        <w:spacing w:line="460" w:lineRule="exact"/>
        <w:ind w:firstLine="480" w:firstLineChars="200"/>
        <w:jc w:val="left"/>
        <w:rPr>
          <w:rFonts w:hint="eastAsia" w:ascii="宋体" w:hAnsi="宋体" w:eastAsia="宋体" w:cs="宋体"/>
          <w:color w:val="auto"/>
          <w:kern w:val="0"/>
          <w:sz w:val="24"/>
          <w:highlight w:val="none"/>
        </w:rPr>
      </w:pPr>
    </w:p>
    <w:p w14:paraId="208D12AA">
      <w:pPr>
        <w:keepNext w:val="0"/>
        <w:pageBreakBefore w:val="0"/>
        <w:widowControl w:val="0"/>
        <w:wordWrap w:val="0"/>
        <w:overflowPunct/>
        <w:topLinePunct w:val="0"/>
        <w:bidi w:val="0"/>
        <w:snapToGrid w:val="0"/>
        <w:spacing w:line="460" w:lineRule="exact"/>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highlight w:val="none"/>
        </w:rPr>
        <w:t>委托代理人签名：             法定代表人签名</w:t>
      </w:r>
      <w:r>
        <w:rPr>
          <w:rFonts w:hint="eastAsia" w:ascii="宋体" w:hAnsi="宋体" w:eastAsia="宋体" w:cs="宋体"/>
          <w:color w:val="auto"/>
          <w:kern w:val="0"/>
          <w:sz w:val="24"/>
          <w:highlight w:val="none"/>
          <w:lang w:val="en-US" w:eastAsia="zh-CN"/>
        </w:rPr>
        <w:t>或盖章</w:t>
      </w:r>
      <w:r>
        <w:rPr>
          <w:rFonts w:hint="eastAsia" w:ascii="宋体" w:hAnsi="宋体" w:eastAsia="宋体" w:cs="宋体"/>
          <w:color w:val="auto"/>
          <w:kern w:val="0"/>
          <w:sz w:val="24"/>
          <w:highlight w:val="none"/>
        </w:rPr>
        <w:t>：</w:t>
      </w:r>
    </w:p>
    <w:p w14:paraId="414CFA2B">
      <w:pPr>
        <w:keepNext w:val="0"/>
        <w:pageBreakBefore w:val="0"/>
        <w:widowControl w:val="0"/>
        <w:wordWrap w:val="0"/>
        <w:overflowPunct/>
        <w:topLinePunct w:val="0"/>
        <w:bidi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0"/>
      </w:tblGrid>
      <w:tr w14:paraId="6E7EB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2" w:hRule="atLeast"/>
        </w:trPr>
        <w:tc>
          <w:tcPr>
            <w:tcW w:w="6780" w:type="dxa"/>
            <w:tcBorders>
              <w:top w:val="single" w:color="auto" w:sz="4" w:space="0"/>
              <w:left w:val="single" w:color="auto" w:sz="4" w:space="0"/>
              <w:bottom w:val="single" w:color="auto" w:sz="4" w:space="0"/>
              <w:right w:val="single" w:color="auto" w:sz="4" w:space="0"/>
            </w:tcBorders>
          </w:tcPr>
          <w:p w14:paraId="58C9EA2A">
            <w:pPr>
              <w:keepNext w:val="0"/>
              <w:pageBreakBefore w:val="0"/>
              <w:widowControl w:val="0"/>
              <w:overflowPunct/>
              <w:topLinePunct w:val="0"/>
              <w:bidi w:val="0"/>
              <w:spacing w:line="480" w:lineRule="exact"/>
              <w:jc w:val="left"/>
              <w:rPr>
                <w:rFonts w:hint="eastAsia" w:ascii="宋体" w:hAnsi="宋体" w:eastAsia="宋体" w:cs="宋体"/>
                <w:color w:val="auto"/>
                <w:kern w:val="0"/>
                <w:sz w:val="24"/>
                <w:highlight w:val="none"/>
              </w:rPr>
            </w:pPr>
            <w:r>
              <w:rPr>
                <w:rFonts w:hint="eastAsia" w:ascii="宋体" w:hAnsi="宋体" w:eastAsia="宋体" w:cs="宋体"/>
                <w:bCs/>
                <w:color w:val="auto"/>
                <w:kern w:val="0"/>
                <w:sz w:val="24"/>
                <w:highlight w:val="none"/>
              </w:rPr>
              <w:t>此处请粘贴</w:t>
            </w:r>
            <w:r>
              <w:rPr>
                <w:rFonts w:hint="eastAsia" w:ascii="宋体" w:hAnsi="宋体" w:eastAsia="宋体" w:cs="宋体"/>
                <w:color w:val="auto"/>
                <w:kern w:val="0"/>
                <w:sz w:val="24"/>
                <w:highlight w:val="none"/>
              </w:rPr>
              <w:t>委托代理人</w:t>
            </w:r>
            <w:r>
              <w:rPr>
                <w:rFonts w:hint="eastAsia" w:ascii="宋体" w:hAnsi="宋体" w:eastAsia="宋体" w:cs="宋体"/>
                <w:bCs/>
                <w:color w:val="auto"/>
                <w:kern w:val="0"/>
                <w:sz w:val="24"/>
                <w:highlight w:val="none"/>
              </w:rPr>
              <w:t>身份证复印件</w:t>
            </w:r>
          </w:p>
        </w:tc>
      </w:tr>
    </w:tbl>
    <w:p w14:paraId="527C7F41">
      <w:pPr>
        <w:keepNext w:val="0"/>
        <w:pageBreakBefore w:val="0"/>
        <w:widowControl w:val="0"/>
        <w:wordWrap w:val="0"/>
        <w:overflowPunct/>
        <w:topLinePunct w:val="0"/>
        <w:bidi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委托代理人身份证号码：</w:t>
      </w:r>
    </w:p>
    <w:p w14:paraId="3F0C663B">
      <w:pPr>
        <w:keepNext w:val="0"/>
        <w:pageBreakBefore w:val="0"/>
        <w:widowControl w:val="0"/>
        <w:wordWrap w:val="0"/>
        <w:overflowPunct/>
        <w:topLinePunct w:val="0"/>
        <w:bidi w:val="0"/>
        <w:spacing w:line="460" w:lineRule="exact"/>
        <w:ind w:firstLine="4800" w:firstLineChars="2000"/>
        <w:jc w:val="left"/>
        <w:rPr>
          <w:rFonts w:hint="eastAsia" w:ascii="宋体" w:hAnsi="宋体" w:eastAsia="宋体" w:cs="宋体"/>
          <w:color w:val="auto"/>
          <w:kern w:val="0"/>
          <w:sz w:val="24"/>
          <w:highlight w:val="none"/>
        </w:rPr>
      </w:pPr>
    </w:p>
    <w:p w14:paraId="47490F48">
      <w:pPr>
        <w:keepNext w:val="0"/>
        <w:pageBreakBefore w:val="0"/>
        <w:widowControl w:val="0"/>
        <w:wordWrap w:val="0"/>
        <w:overflowPunct/>
        <w:topLinePunct w:val="0"/>
        <w:bidi w:val="0"/>
        <w:spacing w:line="360" w:lineRule="auto"/>
        <w:jc w:val="center"/>
        <w:rPr>
          <w:rFonts w:hint="eastAsia" w:ascii="宋体" w:hAnsi="宋体" w:eastAsia="宋体" w:cs="宋体"/>
          <w:color w:val="auto"/>
          <w:kern w:val="0"/>
          <w:sz w:val="24"/>
          <w:highlight w:val="none"/>
        </w:rPr>
      </w:pPr>
    </w:p>
    <w:p w14:paraId="10F674C3">
      <w:pPr>
        <w:keepNext w:val="0"/>
        <w:pageBreakBefore w:val="0"/>
        <w:widowControl w:val="0"/>
        <w:wordWrap w:val="0"/>
        <w:overflowPunct/>
        <w:topLinePunct w:val="0"/>
        <w:bidi w:val="0"/>
        <w:spacing w:line="360" w:lineRule="auto"/>
        <w:jc w:val="right"/>
        <w:rPr>
          <w:rFonts w:hint="eastAsia" w:ascii="宋体" w:hAnsi="宋体" w:eastAsia="宋体" w:cs="宋体"/>
          <w:color w:val="auto"/>
          <w:kern w:val="0"/>
          <w:sz w:val="24"/>
          <w:highlight w:val="none"/>
        </w:rPr>
      </w:pPr>
    </w:p>
    <w:p w14:paraId="64EEE987">
      <w:pPr>
        <w:keepNext w:val="0"/>
        <w:pageBreakBefore w:val="0"/>
        <w:widowControl w:val="0"/>
        <w:wordWrap w:val="0"/>
        <w:overflowPunct/>
        <w:topLinePunct w:val="0"/>
        <w:bidi w:val="0"/>
        <w:spacing w:line="360" w:lineRule="auto"/>
        <w:jc w:val="right"/>
        <w:rPr>
          <w:rFonts w:hint="eastAsia" w:ascii="宋体" w:hAnsi="宋体" w:eastAsia="宋体" w:cs="宋体"/>
          <w:color w:val="auto"/>
          <w:kern w:val="0"/>
          <w:sz w:val="24"/>
          <w:highlight w:val="none"/>
        </w:rPr>
      </w:pPr>
    </w:p>
    <w:p w14:paraId="1DA78FC1">
      <w:pPr>
        <w:keepNext w:val="0"/>
        <w:pageBreakBefore w:val="0"/>
        <w:widowControl w:val="0"/>
        <w:wordWrap w:val="0"/>
        <w:overflowPunct/>
        <w:topLinePunct w:val="0"/>
        <w:bidi w:val="0"/>
        <w:spacing w:line="360" w:lineRule="auto"/>
        <w:jc w:val="right"/>
        <w:rPr>
          <w:rFonts w:hint="eastAsia" w:ascii="宋体" w:hAnsi="宋体" w:eastAsia="宋体" w:cs="宋体"/>
          <w:color w:val="auto"/>
          <w:kern w:val="0"/>
          <w:sz w:val="24"/>
          <w:highlight w:val="none"/>
        </w:rPr>
      </w:pPr>
    </w:p>
    <w:p w14:paraId="03DDFB0A">
      <w:pPr>
        <w:keepNext w:val="0"/>
        <w:pageBreakBefore w:val="0"/>
        <w:widowControl w:val="0"/>
        <w:wordWrap w:val="0"/>
        <w:overflowPunct/>
        <w:topLinePunct w:val="0"/>
        <w:bidi w:val="0"/>
        <w:spacing w:line="360" w:lineRule="auto"/>
        <w:jc w:val="right"/>
        <w:rPr>
          <w:rFonts w:hint="eastAsia" w:ascii="宋体" w:hAnsi="宋体" w:eastAsia="宋体" w:cs="宋体"/>
          <w:color w:val="auto"/>
          <w:kern w:val="0"/>
          <w:sz w:val="24"/>
          <w:highlight w:val="none"/>
        </w:rPr>
      </w:pPr>
    </w:p>
    <w:p w14:paraId="44C38315">
      <w:pPr>
        <w:keepNext w:val="0"/>
        <w:pageBreakBefore w:val="0"/>
        <w:widowControl w:val="0"/>
        <w:wordWrap w:val="0"/>
        <w:overflowPunct/>
        <w:topLinePunct w:val="0"/>
        <w:bidi w:val="0"/>
        <w:spacing w:line="360" w:lineRule="auto"/>
        <w:jc w:val="right"/>
        <w:rPr>
          <w:rFonts w:hint="eastAsia" w:ascii="宋体" w:hAnsi="宋体" w:eastAsia="宋体" w:cs="宋体"/>
          <w:color w:val="auto"/>
          <w:kern w:val="0"/>
          <w:sz w:val="24"/>
          <w:highlight w:val="none"/>
        </w:rPr>
      </w:pPr>
    </w:p>
    <w:p w14:paraId="37BFC090">
      <w:pPr>
        <w:keepNext w:val="0"/>
        <w:pageBreakBefore w:val="0"/>
        <w:widowControl w:val="0"/>
        <w:wordWrap/>
        <w:overflowPunct/>
        <w:topLinePunct w:val="0"/>
        <w:bidi w:val="0"/>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（全称并加盖公章）</w:t>
      </w:r>
    </w:p>
    <w:p w14:paraId="65EA290B">
      <w:pPr>
        <w:keepNext w:val="0"/>
        <w:pageBreakBefore w:val="0"/>
        <w:widowControl w:val="0"/>
        <w:wordWrap w:val="0"/>
        <w:overflowPunct/>
        <w:topLinePunct w:val="0"/>
        <w:bidi w:val="0"/>
        <w:spacing w:line="460" w:lineRule="exact"/>
        <w:ind w:firstLine="3840" w:firstLineChars="1600"/>
        <w:jc w:val="left"/>
        <w:rPr>
          <w:rFonts w:hint="eastAsia" w:ascii="宋体" w:hAnsi="宋体" w:eastAsia="宋体" w:cs="宋体"/>
          <w:b/>
          <w:color w:val="auto"/>
          <w:kern w:val="0"/>
          <w:sz w:val="32"/>
          <w:szCs w:val="32"/>
          <w:highlight w:val="none"/>
        </w:rPr>
      </w:pPr>
      <w:r>
        <w:rPr>
          <w:rFonts w:hint="eastAsia" w:ascii="宋体" w:hAnsi="宋体" w:eastAsia="宋体" w:cs="宋体"/>
          <w:color w:val="auto"/>
          <w:kern w:val="0"/>
          <w:sz w:val="24"/>
          <w:highlight w:val="none"/>
        </w:rPr>
        <w:t>年    月    日</w:t>
      </w:r>
    </w:p>
    <w:p w14:paraId="6933104B">
      <w:pPr>
        <w:keepNext w:val="0"/>
        <w:pageBreakBefore w:val="0"/>
        <w:widowControl w:val="0"/>
        <w:overflowPunct/>
        <w:topLinePunct w:val="0"/>
        <w:bidi w:val="0"/>
        <w:spacing w:line="360" w:lineRule="auto"/>
        <w:ind w:firstLine="7228" w:firstLineChars="2250"/>
        <w:jc w:val="left"/>
        <w:rPr>
          <w:rFonts w:hint="eastAsia" w:ascii="宋体" w:hAnsi="宋体" w:eastAsia="宋体" w:cs="宋体"/>
          <w:b/>
          <w:color w:val="auto"/>
          <w:kern w:val="0"/>
          <w:sz w:val="32"/>
          <w:szCs w:val="32"/>
          <w:highlight w:val="none"/>
        </w:rPr>
      </w:pPr>
    </w:p>
    <w:p w14:paraId="04D315BF">
      <w:pPr>
        <w:keepNext w:val="0"/>
        <w:pageBreakBefore w:val="0"/>
        <w:widowControl w:val="0"/>
        <w:overflowPunct/>
        <w:topLinePunct w:val="0"/>
        <w:bidi w:val="0"/>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p w14:paraId="3D24408E">
      <w:pPr>
        <w:pStyle w:val="5"/>
        <w:keepNext w:val="0"/>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91" w:name="_Toc18105"/>
      <w:bookmarkStart w:id="92" w:name="_Toc24693"/>
      <w:bookmarkStart w:id="93" w:name="_Toc3342"/>
      <w:r>
        <w:rPr>
          <w:rFonts w:hint="eastAsia" w:ascii="宋体" w:hAnsi="宋体" w:eastAsia="宋体" w:cs="宋体"/>
          <w:color w:val="auto"/>
          <w:sz w:val="28"/>
          <w:szCs w:val="28"/>
          <w:highlight w:val="none"/>
          <w:lang w:val="en-US" w:eastAsia="zh-CN"/>
        </w:rPr>
        <w:t>附件9          证明文件</w:t>
      </w:r>
      <w:bookmarkEnd w:id="91"/>
      <w:bookmarkEnd w:id="92"/>
      <w:bookmarkEnd w:id="93"/>
    </w:p>
    <w:p w14:paraId="644D293B">
      <w:pPr>
        <w:pStyle w:val="2"/>
        <w:keepNext w:val="0"/>
        <w:pageBreakBefore w:val="0"/>
        <w:widowControl w:val="0"/>
        <w:overflowPunct/>
        <w:topLinePunct w:val="0"/>
        <w:bidi w:val="0"/>
        <w:spacing w:beforeAutospacing="0" w:afterAutospacing="0" w:line="48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9.1</w:t>
      </w:r>
      <w:r>
        <w:rPr>
          <w:rFonts w:hint="eastAsia" w:ascii="宋体" w:hAnsi="宋体" w:eastAsia="宋体" w:cs="宋体"/>
          <w:bCs/>
          <w:color w:val="auto"/>
          <w:sz w:val="21"/>
          <w:szCs w:val="21"/>
          <w:highlight w:val="none"/>
          <w:lang w:val="en-US" w:eastAsia="zh-CN"/>
        </w:rPr>
        <w:t xml:space="preserve"> </w:t>
      </w:r>
      <w:r>
        <w:rPr>
          <w:rFonts w:hint="eastAsia" w:ascii="宋体" w:hAnsi="宋体" w:eastAsia="宋体" w:cs="宋体"/>
          <w:bCs/>
          <w:color w:val="auto"/>
          <w:sz w:val="21"/>
          <w:szCs w:val="21"/>
          <w:highlight w:val="none"/>
        </w:rPr>
        <w:t>资格审查资料</w:t>
      </w:r>
    </w:p>
    <w:p w14:paraId="4813F031">
      <w:pPr>
        <w:pStyle w:val="2"/>
        <w:keepNext w:val="0"/>
        <w:pageBreakBefore w:val="0"/>
        <w:widowControl w:val="0"/>
        <w:overflowPunct/>
        <w:topLinePunct w:val="0"/>
        <w:bidi w:val="0"/>
        <w:spacing w:beforeAutospacing="0" w:afterAutospacing="0" w:line="48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9.2</w:t>
      </w:r>
      <w:r>
        <w:rPr>
          <w:rFonts w:hint="eastAsia" w:cs="宋体"/>
          <w:bCs/>
          <w:color w:val="auto"/>
          <w:sz w:val="21"/>
          <w:szCs w:val="21"/>
          <w:highlight w:val="none"/>
          <w:lang w:val="en-US" w:eastAsia="zh-CN"/>
        </w:rPr>
        <w:t xml:space="preserve"> </w:t>
      </w:r>
      <w:r>
        <w:rPr>
          <w:rFonts w:hint="eastAsia" w:ascii="宋体" w:hAnsi="宋体" w:eastAsia="宋体" w:cs="宋体"/>
          <w:bCs/>
          <w:color w:val="auto"/>
          <w:sz w:val="21"/>
          <w:szCs w:val="21"/>
          <w:highlight w:val="none"/>
          <w:lang w:val="en-US" w:eastAsia="zh-CN"/>
        </w:rPr>
        <w:t>产品技术参数支持资料</w:t>
      </w:r>
    </w:p>
    <w:p w14:paraId="00828F39">
      <w:pPr>
        <w:pStyle w:val="2"/>
        <w:keepNext w:val="0"/>
        <w:pageBreakBefore w:val="0"/>
        <w:widowControl w:val="0"/>
        <w:overflowPunct/>
        <w:topLinePunct w:val="0"/>
        <w:bidi w:val="0"/>
        <w:spacing w:beforeAutospacing="0" w:afterAutospacing="0" w:line="480" w:lineRule="auto"/>
        <w:ind w:firstLine="470" w:firstLineChars="224"/>
        <w:jc w:val="both"/>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rPr>
        <w:t>9.3</w:t>
      </w:r>
      <w:r>
        <w:rPr>
          <w:rFonts w:hint="eastAsia" w:ascii="宋体" w:hAnsi="宋体" w:eastAsia="宋体" w:cs="宋体"/>
          <w:bCs/>
          <w:color w:val="auto"/>
          <w:sz w:val="21"/>
          <w:szCs w:val="21"/>
          <w:highlight w:val="none"/>
          <w:lang w:val="en-US" w:eastAsia="zh-CN"/>
        </w:rPr>
        <w:t xml:space="preserve"> </w:t>
      </w:r>
      <w:bookmarkStart w:id="94" w:name="_Toc17966"/>
      <w:r>
        <w:rPr>
          <w:rFonts w:hint="eastAsia" w:ascii="宋体" w:hAnsi="宋体" w:eastAsia="宋体" w:cs="宋体"/>
          <w:bCs/>
          <w:color w:val="auto"/>
          <w:sz w:val="21"/>
          <w:szCs w:val="21"/>
          <w:highlight w:val="none"/>
          <w:lang w:val="en-US" w:eastAsia="zh-CN"/>
        </w:rPr>
        <w:t>评分标准中需提供的证明材料</w:t>
      </w:r>
    </w:p>
    <w:p w14:paraId="401A2B52">
      <w:pPr>
        <w:pStyle w:val="2"/>
        <w:keepNext w:val="0"/>
        <w:pageBreakBefore w:val="0"/>
        <w:widowControl w:val="0"/>
        <w:overflowPunct/>
        <w:topLinePunct w:val="0"/>
        <w:bidi w:val="0"/>
        <w:spacing w:beforeAutospacing="0" w:afterAutospacing="0" w:line="480" w:lineRule="auto"/>
        <w:ind w:firstLine="470"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w:t>
      </w:r>
      <w:r>
        <w:rPr>
          <w:rFonts w:hint="eastAsia" w:ascii="宋体" w:hAnsi="宋体" w:eastAsia="宋体" w:cs="宋体"/>
          <w:bCs/>
          <w:color w:val="auto"/>
          <w:sz w:val="21"/>
          <w:szCs w:val="21"/>
          <w:highlight w:val="none"/>
          <w:lang w:val="en-US" w:eastAsia="zh-CN"/>
        </w:rPr>
        <w:t>4 供应商认为其他需要提供的证明材料</w:t>
      </w:r>
      <w:r>
        <w:rPr>
          <w:rFonts w:hint="eastAsia" w:ascii="宋体" w:hAnsi="宋体" w:eastAsia="宋体" w:cs="宋体"/>
          <w:bCs/>
          <w:color w:val="auto"/>
          <w:sz w:val="21"/>
          <w:szCs w:val="21"/>
          <w:highlight w:val="none"/>
        </w:rPr>
        <w:t>。</w:t>
      </w:r>
    </w:p>
    <w:p w14:paraId="38997C36">
      <w:pPr>
        <w:pStyle w:val="2"/>
        <w:keepNext w:val="0"/>
        <w:pageBreakBefore w:val="0"/>
        <w:widowControl w:val="0"/>
        <w:overflowPunct/>
        <w:topLinePunct w:val="0"/>
        <w:bidi w:val="0"/>
        <w:spacing w:beforeAutospacing="0" w:afterAutospacing="0" w:line="480" w:lineRule="auto"/>
        <w:ind w:firstLine="540" w:firstLineChars="224"/>
        <w:jc w:val="both"/>
        <w:rPr>
          <w:rFonts w:hint="eastAsia" w:ascii="宋体" w:hAnsi="宋体" w:eastAsia="宋体" w:cs="宋体"/>
          <w:b/>
          <w:bCs/>
          <w:color w:val="auto"/>
          <w:highlight w:val="none"/>
        </w:rPr>
      </w:pPr>
    </w:p>
    <w:p w14:paraId="63B9045E">
      <w:pPr>
        <w:pStyle w:val="2"/>
        <w:keepNext w:val="0"/>
        <w:pageBreakBefore w:val="0"/>
        <w:widowControl w:val="0"/>
        <w:overflowPunct/>
        <w:topLinePunct w:val="0"/>
        <w:bidi w:val="0"/>
        <w:spacing w:beforeAutospacing="0" w:afterAutospacing="0" w:line="480" w:lineRule="auto"/>
        <w:ind w:firstLine="540" w:firstLineChars="224"/>
        <w:jc w:val="both"/>
        <w:rPr>
          <w:rFonts w:hint="eastAsia" w:ascii="宋体" w:hAnsi="宋体" w:eastAsia="宋体" w:cs="宋体"/>
          <w:b/>
          <w:bCs/>
          <w:color w:val="auto"/>
          <w:highlight w:val="none"/>
        </w:rPr>
      </w:pPr>
    </w:p>
    <w:p w14:paraId="0CF185C0">
      <w:pPr>
        <w:pStyle w:val="2"/>
        <w:keepNext w:val="0"/>
        <w:pageBreakBefore w:val="0"/>
        <w:widowControl w:val="0"/>
        <w:overflowPunct/>
        <w:topLinePunct w:val="0"/>
        <w:bidi w:val="0"/>
        <w:spacing w:beforeAutospacing="0" w:afterAutospacing="0" w:line="480" w:lineRule="auto"/>
        <w:ind w:firstLine="540" w:firstLineChars="224"/>
        <w:jc w:val="both"/>
        <w:rPr>
          <w:rFonts w:hint="eastAsia" w:ascii="宋体" w:hAnsi="宋体" w:eastAsia="宋体" w:cs="宋体"/>
          <w:b/>
          <w:bCs/>
          <w:color w:val="auto"/>
          <w:highlight w:val="none"/>
        </w:rPr>
      </w:pPr>
    </w:p>
    <w:p w14:paraId="5A38418C">
      <w:pPr>
        <w:pStyle w:val="2"/>
        <w:keepNext w:val="0"/>
        <w:pageBreakBefore w:val="0"/>
        <w:widowControl w:val="0"/>
        <w:overflowPunct/>
        <w:topLinePunct w:val="0"/>
        <w:bidi w:val="0"/>
        <w:spacing w:beforeAutospacing="0" w:afterAutospacing="0" w:line="480" w:lineRule="auto"/>
        <w:ind w:firstLine="540" w:firstLineChars="224"/>
        <w:jc w:val="both"/>
        <w:rPr>
          <w:rFonts w:hint="eastAsia" w:ascii="宋体" w:hAnsi="宋体" w:eastAsia="宋体" w:cs="宋体"/>
          <w:b/>
          <w:bCs/>
          <w:color w:val="auto"/>
          <w:highlight w:val="none"/>
        </w:rPr>
      </w:pPr>
    </w:p>
    <w:p w14:paraId="6EE51B98">
      <w:pPr>
        <w:pStyle w:val="2"/>
        <w:keepNext w:val="0"/>
        <w:pageBreakBefore w:val="0"/>
        <w:widowControl w:val="0"/>
        <w:overflowPunct/>
        <w:topLinePunct w:val="0"/>
        <w:bidi w:val="0"/>
        <w:spacing w:beforeAutospacing="0" w:afterAutospacing="0" w:line="480" w:lineRule="auto"/>
        <w:ind w:firstLine="540" w:firstLineChars="224"/>
        <w:jc w:val="both"/>
        <w:rPr>
          <w:rFonts w:hint="eastAsia" w:ascii="宋体" w:hAnsi="宋体" w:eastAsia="宋体" w:cs="宋体"/>
          <w:b/>
          <w:bCs/>
          <w:color w:val="auto"/>
          <w:highlight w:val="none"/>
        </w:rPr>
      </w:pPr>
    </w:p>
    <w:p w14:paraId="615549B2">
      <w:pPr>
        <w:pStyle w:val="2"/>
        <w:keepNext w:val="0"/>
        <w:pageBreakBefore w:val="0"/>
        <w:widowControl w:val="0"/>
        <w:overflowPunct/>
        <w:topLinePunct w:val="0"/>
        <w:bidi w:val="0"/>
        <w:spacing w:beforeAutospacing="0" w:afterAutospacing="0" w:line="480" w:lineRule="auto"/>
        <w:ind w:firstLine="540" w:firstLineChars="224"/>
        <w:jc w:val="both"/>
        <w:rPr>
          <w:rFonts w:hint="eastAsia" w:ascii="宋体" w:hAnsi="宋体" w:eastAsia="宋体" w:cs="宋体"/>
          <w:b/>
          <w:bCs/>
          <w:color w:val="auto"/>
          <w:highlight w:val="none"/>
        </w:rPr>
      </w:pPr>
    </w:p>
    <w:p w14:paraId="6366152E">
      <w:pPr>
        <w:pStyle w:val="2"/>
        <w:keepNext w:val="0"/>
        <w:pageBreakBefore w:val="0"/>
        <w:widowControl w:val="0"/>
        <w:overflowPunct/>
        <w:topLinePunct w:val="0"/>
        <w:bidi w:val="0"/>
        <w:spacing w:beforeAutospacing="0" w:afterAutospacing="0" w:line="480" w:lineRule="auto"/>
        <w:ind w:firstLine="540" w:firstLineChars="224"/>
        <w:jc w:val="both"/>
        <w:rPr>
          <w:rFonts w:hint="eastAsia" w:ascii="宋体" w:hAnsi="宋体" w:eastAsia="宋体" w:cs="宋体"/>
          <w:b/>
          <w:bCs/>
          <w:color w:val="auto"/>
          <w:highlight w:val="none"/>
        </w:rPr>
      </w:pPr>
    </w:p>
    <w:p w14:paraId="4F755349">
      <w:pPr>
        <w:pStyle w:val="2"/>
        <w:keepNext w:val="0"/>
        <w:pageBreakBefore w:val="0"/>
        <w:widowControl w:val="0"/>
        <w:overflowPunct/>
        <w:topLinePunct w:val="0"/>
        <w:bidi w:val="0"/>
        <w:spacing w:beforeAutospacing="0" w:afterAutospacing="0" w:line="480" w:lineRule="auto"/>
        <w:ind w:firstLine="540" w:firstLineChars="224"/>
        <w:jc w:val="both"/>
        <w:rPr>
          <w:rFonts w:hint="eastAsia" w:ascii="宋体" w:hAnsi="宋体" w:eastAsia="宋体" w:cs="宋体"/>
          <w:b/>
          <w:bCs/>
          <w:color w:val="auto"/>
          <w:highlight w:val="none"/>
        </w:rPr>
      </w:pPr>
    </w:p>
    <w:p w14:paraId="4DBE70D8">
      <w:pPr>
        <w:pStyle w:val="2"/>
        <w:keepNext w:val="0"/>
        <w:pageBreakBefore w:val="0"/>
        <w:widowControl w:val="0"/>
        <w:overflowPunct/>
        <w:topLinePunct w:val="0"/>
        <w:bidi w:val="0"/>
        <w:spacing w:beforeAutospacing="0" w:afterAutospacing="0" w:line="480" w:lineRule="auto"/>
        <w:ind w:firstLine="540" w:firstLineChars="224"/>
        <w:jc w:val="both"/>
        <w:rPr>
          <w:rFonts w:hint="eastAsia" w:ascii="宋体" w:hAnsi="宋体" w:eastAsia="宋体" w:cs="宋体"/>
          <w:b/>
          <w:bCs/>
          <w:color w:val="auto"/>
          <w:highlight w:val="none"/>
        </w:rPr>
      </w:pPr>
    </w:p>
    <w:p w14:paraId="45048D1C">
      <w:pPr>
        <w:pStyle w:val="2"/>
        <w:keepNext w:val="0"/>
        <w:pageBreakBefore w:val="0"/>
        <w:widowControl w:val="0"/>
        <w:overflowPunct/>
        <w:topLinePunct w:val="0"/>
        <w:bidi w:val="0"/>
        <w:spacing w:beforeAutospacing="0" w:afterAutospacing="0" w:line="480" w:lineRule="auto"/>
        <w:ind w:firstLine="540" w:firstLineChars="224"/>
        <w:jc w:val="both"/>
        <w:rPr>
          <w:rFonts w:hint="eastAsia" w:ascii="宋体" w:hAnsi="宋体" w:eastAsia="宋体" w:cs="宋体"/>
          <w:b/>
          <w:bCs/>
          <w:color w:val="auto"/>
          <w:highlight w:val="none"/>
        </w:rPr>
      </w:pPr>
    </w:p>
    <w:p w14:paraId="4FD293BC">
      <w:pPr>
        <w:pStyle w:val="2"/>
        <w:keepNext w:val="0"/>
        <w:pageBreakBefore w:val="0"/>
        <w:widowControl w:val="0"/>
        <w:overflowPunct/>
        <w:topLinePunct w:val="0"/>
        <w:bidi w:val="0"/>
        <w:spacing w:beforeAutospacing="0" w:afterAutospacing="0" w:line="480" w:lineRule="auto"/>
        <w:ind w:firstLine="540" w:firstLineChars="224"/>
        <w:jc w:val="both"/>
        <w:rPr>
          <w:rFonts w:hint="eastAsia" w:ascii="宋体" w:hAnsi="宋体" w:eastAsia="宋体" w:cs="宋体"/>
          <w:b/>
          <w:bCs/>
          <w:color w:val="auto"/>
          <w:highlight w:val="none"/>
        </w:rPr>
      </w:pPr>
    </w:p>
    <w:p w14:paraId="2AFAC9D1">
      <w:pPr>
        <w:pStyle w:val="2"/>
        <w:keepNext w:val="0"/>
        <w:pageBreakBefore w:val="0"/>
        <w:widowControl w:val="0"/>
        <w:overflowPunct/>
        <w:topLinePunct w:val="0"/>
        <w:bidi w:val="0"/>
        <w:spacing w:beforeAutospacing="0" w:afterAutospacing="0" w:line="480" w:lineRule="auto"/>
        <w:ind w:firstLine="540" w:firstLineChars="224"/>
        <w:jc w:val="both"/>
        <w:rPr>
          <w:rFonts w:hint="eastAsia" w:ascii="宋体" w:hAnsi="宋体" w:eastAsia="宋体" w:cs="宋体"/>
          <w:b/>
          <w:bCs/>
          <w:color w:val="auto"/>
          <w:highlight w:val="none"/>
        </w:rPr>
      </w:pPr>
    </w:p>
    <w:p w14:paraId="0629ABF5">
      <w:pPr>
        <w:pStyle w:val="2"/>
        <w:keepNext w:val="0"/>
        <w:pageBreakBefore w:val="0"/>
        <w:widowControl w:val="0"/>
        <w:overflowPunct/>
        <w:topLinePunct w:val="0"/>
        <w:bidi w:val="0"/>
        <w:spacing w:beforeAutospacing="0" w:afterAutospacing="0" w:line="480" w:lineRule="auto"/>
        <w:ind w:firstLine="540" w:firstLineChars="224"/>
        <w:jc w:val="both"/>
        <w:rPr>
          <w:rFonts w:hint="eastAsia" w:ascii="宋体" w:hAnsi="宋体" w:eastAsia="宋体" w:cs="宋体"/>
          <w:b/>
          <w:bCs/>
          <w:color w:val="auto"/>
          <w:highlight w:val="none"/>
        </w:rPr>
      </w:pPr>
    </w:p>
    <w:p w14:paraId="411E6D38">
      <w:pPr>
        <w:pStyle w:val="2"/>
        <w:keepNext w:val="0"/>
        <w:pageBreakBefore w:val="0"/>
        <w:widowControl w:val="0"/>
        <w:overflowPunct/>
        <w:topLinePunct w:val="0"/>
        <w:bidi w:val="0"/>
        <w:spacing w:beforeAutospacing="0" w:afterAutospacing="0" w:line="480" w:lineRule="auto"/>
        <w:ind w:firstLine="540" w:firstLineChars="224"/>
        <w:jc w:val="both"/>
        <w:rPr>
          <w:rFonts w:hint="eastAsia" w:ascii="宋体" w:hAnsi="宋体" w:eastAsia="宋体" w:cs="宋体"/>
          <w:b/>
          <w:bCs/>
          <w:color w:val="auto"/>
          <w:highlight w:val="none"/>
        </w:rPr>
      </w:pPr>
    </w:p>
    <w:p w14:paraId="42761FA2">
      <w:pPr>
        <w:pStyle w:val="2"/>
        <w:keepNext w:val="0"/>
        <w:pageBreakBefore w:val="0"/>
        <w:widowControl w:val="0"/>
        <w:overflowPunct/>
        <w:topLinePunct w:val="0"/>
        <w:bidi w:val="0"/>
        <w:spacing w:beforeAutospacing="0" w:afterAutospacing="0" w:line="480" w:lineRule="auto"/>
        <w:ind w:firstLine="540" w:firstLineChars="224"/>
        <w:jc w:val="both"/>
        <w:rPr>
          <w:rFonts w:hint="eastAsia" w:ascii="宋体" w:hAnsi="宋体" w:eastAsia="宋体" w:cs="宋体"/>
          <w:b/>
          <w:bCs/>
          <w:color w:val="auto"/>
          <w:highlight w:val="none"/>
        </w:rPr>
      </w:pPr>
    </w:p>
    <w:p w14:paraId="3C0135E1">
      <w:pPr>
        <w:pStyle w:val="2"/>
        <w:keepNext w:val="0"/>
        <w:pageBreakBefore w:val="0"/>
        <w:widowControl w:val="0"/>
        <w:overflowPunct/>
        <w:topLinePunct w:val="0"/>
        <w:bidi w:val="0"/>
        <w:spacing w:beforeAutospacing="0" w:afterAutospacing="0" w:line="480" w:lineRule="auto"/>
        <w:ind w:firstLine="540" w:firstLineChars="224"/>
        <w:jc w:val="both"/>
        <w:rPr>
          <w:rFonts w:hint="eastAsia" w:ascii="宋体" w:hAnsi="宋体" w:eastAsia="宋体" w:cs="宋体"/>
          <w:b/>
          <w:bCs/>
          <w:color w:val="auto"/>
          <w:highlight w:val="none"/>
        </w:rPr>
      </w:pPr>
    </w:p>
    <w:p w14:paraId="2AF27F3A">
      <w:pPr>
        <w:pStyle w:val="5"/>
        <w:keepNext w:val="0"/>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bookmarkStart w:id="95" w:name="_Toc13726"/>
      <w:bookmarkStart w:id="96" w:name="_Toc16083"/>
      <w:bookmarkStart w:id="97" w:name="_Toc12888"/>
    </w:p>
    <w:p w14:paraId="3BB81C13">
      <w:pPr>
        <w:pStyle w:val="5"/>
        <w:keepNext w:val="0"/>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 xml:space="preserve">附件10      </w:t>
      </w:r>
      <w:bookmarkEnd w:id="94"/>
      <w:r>
        <w:rPr>
          <w:rFonts w:hint="eastAsia" w:ascii="宋体" w:hAnsi="宋体" w:eastAsia="宋体" w:cs="宋体"/>
          <w:color w:val="auto"/>
          <w:sz w:val="28"/>
          <w:szCs w:val="28"/>
          <w:highlight w:val="none"/>
          <w:lang w:val="en-US" w:eastAsia="zh-CN"/>
        </w:rPr>
        <w:t>供 应 商 承 诺 书 （格式）</w:t>
      </w:r>
      <w:bookmarkEnd w:id="95"/>
      <w:bookmarkEnd w:id="96"/>
      <w:bookmarkEnd w:id="97"/>
    </w:p>
    <w:p w14:paraId="02DAF775">
      <w:pPr>
        <w:keepNext w:val="0"/>
        <w:pageBreakBefore w:val="0"/>
        <w:widowControl w:val="0"/>
        <w:overflowPunct/>
        <w:topLinePunct w:val="0"/>
        <w:bidi w:val="0"/>
        <w:rPr>
          <w:rFonts w:hint="eastAsia" w:ascii="宋体" w:hAnsi="宋体" w:eastAsia="宋体" w:cs="宋体"/>
          <w:color w:val="auto"/>
          <w:highlight w:val="none"/>
        </w:rPr>
      </w:pPr>
    </w:p>
    <w:p w14:paraId="068327A4">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我院（以下简称甲方）组织的本次采购，在遵守《政府采购法》、《</w:t>
      </w:r>
      <w:r>
        <w:rPr>
          <w:rFonts w:hint="eastAsia" w:ascii="宋体" w:hAnsi="宋体"/>
          <w:color w:val="auto"/>
          <w:kern w:val="0"/>
          <w:sz w:val="24"/>
          <w:highlight w:val="none"/>
        </w:rPr>
        <w:t>中华人民共和国民法典</w:t>
      </w:r>
      <w:r>
        <w:rPr>
          <w:rFonts w:hint="eastAsia" w:ascii="宋体" w:hAnsi="宋体" w:eastAsia="宋体" w:cs="宋体"/>
          <w:color w:val="auto"/>
          <w:sz w:val="24"/>
          <w:szCs w:val="24"/>
          <w:highlight w:val="none"/>
        </w:rPr>
        <w:t>》、《反不正当竞争法》和《关于推进招投标监督领域诚信建设的意见》等法律法规的基础上，要求贵方（以下简称乙方）做出如下承诺：</w:t>
      </w:r>
    </w:p>
    <w:p w14:paraId="0C418C4C">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1、遵循公开、公平、公正和诚实信用的原则自愿参加，所提供的一切材料真实、有效、合法。</w:t>
      </w:r>
    </w:p>
    <w:p w14:paraId="4ADAE269">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2、遵守甲方采购纪律，诚实守信地为甲方提供安全可靠的产品、服务及相关技术，保证质量并主动做好售后服务工作。</w:t>
      </w:r>
    </w:p>
    <w:p w14:paraId="25862B72">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3、杜绝利用提供财物或给予其他不正当利益谋取</w:t>
      </w:r>
      <w:r>
        <w:rPr>
          <w:rFonts w:hint="eastAsia" w:ascii="宋体" w:hAnsi="宋体" w:cs="宋体"/>
          <w:color w:val="auto"/>
          <w:sz w:val="24"/>
          <w:szCs w:val="24"/>
          <w:highlight w:val="none"/>
          <w:lang w:eastAsia="zh-CN"/>
        </w:rPr>
        <w:t>成交</w:t>
      </w:r>
      <w:r>
        <w:rPr>
          <w:rFonts w:hint="eastAsia" w:ascii="宋体" w:hAnsi="宋体" w:eastAsia="宋体" w:cs="宋体"/>
          <w:color w:val="auto"/>
          <w:sz w:val="24"/>
          <w:szCs w:val="24"/>
          <w:highlight w:val="none"/>
        </w:rPr>
        <w:t>的不良行为。</w:t>
      </w:r>
    </w:p>
    <w:p w14:paraId="54B1AF16">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4、不发生其他任何可能影响甲方工作人员公正执行公务或者职务廉洁的行为。</w:t>
      </w:r>
    </w:p>
    <w:p w14:paraId="545BED46">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5、不参与串标、围标或其他不正当竞争行为；杜绝以虚报资质、业绩或其他弄虚作假等方式骗取</w:t>
      </w:r>
      <w:r>
        <w:rPr>
          <w:rFonts w:hint="eastAsia" w:ascii="宋体" w:hAnsi="宋体" w:cs="宋体"/>
          <w:color w:val="auto"/>
          <w:sz w:val="24"/>
          <w:szCs w:val="24"/>
          <w:highlight w:val="none"/>
          <w:lang w:eastAsia="zh-CN"/>
        </w:rPr>
        <w:t>成交</w:t>
      </w:r>
      <w:r>
        <w:rPr>
          <w:rFonts w:hint="eastAsia" w:ascii="宋体" w:hAnsi="宋体" w:eastAsia="宋体" w:cs="宋体"/>
          <w:color w:val="auto"/>
          <w:sz w:val="24"/>
          <w:szCs w:val="24"/>
          <w:highlight w:val="none"/>
        </w:rPr>
        <w:t>。</w:t>
      </w:r>
    </w:p>
    <w:p w14:paraId="4A8907A2">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6、响应时，杜绝擅自修改采购文件或技术标准（包括差异表）技术配置的行为。</w:t>
      </w:r>
    </w:p>
    <w:p w14:paraId="0F6AC67C">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7、严格按照采购、</w:t>
      </w:r>
      <w:r>
        <w:rPr>
          <w:rFonts w:hint="eastAsia" w:ascii="宋体" w:hAnsi="宋体" w:eastAsia="宋体" w:cs="宋体"/>
          <w:color w:val="auto"/>
          <w:sz w:val="24"/>
          <w:szCs w:val="24"/>
          <w:highlight w:val="none"/>
          <w:lang w:val="en-US" w:eastAsia="zh-CN"/>
        </w:rPr>
        <w:t>响应</w:t>
      </w:r>
      <w:r>
        <w:rPr>
          <w:rFonts w:hint="eastAsia" w:ascii="宋体" w:hAnsi="宋体" w:eastAsia="宋体" w:cs="宋体"/>
          <w:color w:val="auto"/>
          <w:sz w:val="24"/>
          <w:szCs w:val="24"/>
          <w:highlight w:val="none"/>
        </w:rPr>
        <w:t>文件要求签订合同，不违反法律无故拒签合同，不签订背离合同（或技术协议书）实质性内容的协议。</w:t>
      </w:r>
    </w:p>
    <w:p w14:paraId="4F121AA1">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highlight w:val="none"/>
        </w:rPr>
      </w:pPr>
    </w:p>
    <w:p w14:paraId="330FDCCA">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公司名称</w:t>
      </w:r>
      <w:r>
        <w:rPr>
          <w:rFonts w:hint="eastAsia" w:ascii="宋体" w:hAnsi="宋体" w:eastAsia="宋体" w:cs="宋体"/>
          <w:color w:val="auto"/>
          <w:sz w:val="24"/>
          <w:szCs w:val="24"/>
          <w:highlight w:val="none"/>
        </w:rPr>
        <w:t xml:space="preserve">）：               </w:t>
      </w:r>
    </w:p>
    <w:p w14:paraId="340B8D12">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4"/>
          <w:szCs w:val="24"/>
          <w:highlight w:val="none"/>
        </w:rPr>
        <w:t>法定代表人或委托人（签字或盖章）：                   年   月   日</w:t>
      </w:r>
    </w:p>
    <w:p w14:paraId="6CCC32DA">
      <w:pPr>
        <w:keepNext w:val="0"/>
        <w:pageBreakBefore w:val="0"/>
        <w:widowControl w:val="0"/>
        <w:overflowPunct/>
        <w:topLinePunct w:val="0"/>
        <w:bidi w:val="0"/>
        <w:spacing w:line="360" w:lineRule="auto"/>
        <w:ind w:firstLine="4305" w:firstLineChars="2050"/>
        <w:jc w:val="left"/>
        <w:rPr>
          <w:rFonts w:hint="eastAsia" w:ascii="宋体" w:hAnsi="宋体" w:eastAsia="宋体" w:cs="宋体"/>
          <w:color w:val="auto"/>
          <w:kern w:val="0"/>
          <w:szCs w:val="21"/>
          <w:highlight w:val="none"/>
        </w:rPr>
      </w:pPr>
    </w:p>
    <w:p w14:paraId="2B1C72AF">
      <w:pPr>
        <w:pStyle w:val="31"/>
        <w:keepNext w:val="0"/>
        <w:pageBreakBefore w:val="0"/>
        <w:widowControl w:val="0"/>
        <w:overflowPunct/>
        <w:topLinePunct w:val="0"/>
        <w:bidi w:val="0"/>
        <w:rPr>
          <w:rFonts w:hint="eastAsia" w:ascii="宋体" w:hAnsi="宋体" w:eastAsia="宋体" w:cs="宋体"/>
          <w:color w:val="auto"/>
          <w:kern w:val="0"/>
          <w:szCs w:val="21"/>
          <w:highlight w:val="none"/>
        </w:rPr>
      </w:pPr>
    </w:p>
    <w:p w14:paraId="7C0BDA51">
      <w:pPr>
        <w:pStyle w:val="14"/>
        <w:keepNext w:val="0"/>
        <w:pageBreakBefore w:val="0"/>
        <w:widowControl w:val="0"/>
        <w:overflowPunct/>
        <w:topLinePunct w:val="0"/>
        <w:bidi w:val="0"/>
        <w:rPr>
          <w:rFonts w:hint="eastAsia" w:ascii="宋体" w:hAnsi="宋体" w:eastAsia="宋体" w:cs="宋体"/>
          <w:color w:val="auto"/>
          <w:kern w:val="0"/>
          <w:szCs w:val="21"/>
          <w:highlight w:val="none"/>
        </w:rPr>
      </w:pPr>
    </w:p>
    <w:p w14:paraId="7CC90B0D">
      <w:pPr>
        <w:pStyle w:val="2"/>
        <w:keepNext w:val="0"/>
        <w:pageBreakBefore w:val="0"/>
        <w:widowControl w:val="0"/>
        <w:overflowPunct/>
        <w:topLinePunct w:val="0"/>
        <w:bidi w:val="0"/>
        <w:rPr>
          <w:rFonts w:hint="eastAsia" w:ascii="宋体" w:hAnsi="宋体" w:eastAsia="宋体" w:cs="宋体"/>
          <w:color w:val="auto"/>
          <w:highlight w:val="none"/>
        </w:rPr>
      </w:pPr>
    </w:p>
    <w:p w14:paraId="5CAC53F3">
      <w:pPr>
        <w:pStyle w:val="5"/>
        <w:keepNext w:val="0"/>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附件11     供应商信用承诺函（格式）</w:t>
      </w:r>
    </w:p>
    <w:p w14:paraId="11D54CC9">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致（采购人或政府采购代理机构）：</w:t>
      </w:r>
    </w:p>
    <w:p w14:paraId="5B15E3F4">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单位名称（自然人姓名）：</w:t>
      </w:r>
    </w:p>
    <w:p w14:paraId="796876B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统一社会信用代码（身份证号码）：</w:t>
      </w:r>
    </w:p>
    <w:p w14:paraId="571F940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法定代表人（负责人）：</w:t>
      </w:r>
    </w:p>
    <w:p w14:paraId="35ABFF3F">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联系地址和电话：</w:t>
      </w:r>
    </w:p>
    <w:p w14:paraId="55C26F3B">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14:paraId="76CA75B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（一）具有独立承担民事责任的能力；</w:t>
      </w:r>
    </w:p>
    <w:p w14:paraId="0CBDAC03">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（二）具有良好的商业信誉和健全的财务会计制度；</w:t>
      </w:r>
    </w:p>
    <w:p w14:paraId="2394BAF5">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（三）具有履行合同所必需的设备和专业技术能力；</w:t>
      </w:r>
    </w:p>
    <w:p w14:paraId="2ABB3196">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（四）有依法缴纳税收和社会保障资金的良好记录；</w:t>
      </w:r>
    </w:p>
    <w:p w14:paraId="465F180E">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（五）参加政府采购活动前三年内，在经营活动中没有重大违法记录；</w:t>
      </w:r>
    </w:p>
    <w:p w14:paraId="2A428F7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（六）未被列入严重失信主体名单、失信被执行人、税收违法黑名单、政府采购严重违法失信行为记录名单，未曾作出虚假承诺；</w:t>
      </w:r>
    </w:p>
    <w:p w14:paraId="28C57669">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（七）符合法律、行政法规规定的其他条件。</w:t>
      </w:r>
    </w:p>
    <w:p w14:paraId="281F3A9C">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我单位（本人）保证上述承诺事项的真实性，如有弄虚作假或其他违法违规行为，愿意承担一切法律责任，并承担因此所造成的一切损失。</w:t>
      </w:r>
    </w:p>
    <w:p w14:paraId="5D94361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7D8C474A">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供应商名称（盖章）：</w:t>
      </w:r>
    </w:p>
    <w:p w14:paraId="6B3DF1A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法定代表人、负责人、自然人或授权代表(签字或盖章)：</w:t>
      </w:r>
    </w:p>
    <w:p w14:paraId="50178CB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日期：       年      月       日</w:t>
      </w:r>
    </w:p>
    <w:p w14:paraId="5A75BB3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19ACDF20">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p>
    <w:p w14:paraId="3D986FD8">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注：1.供应商须在投标（响应性）文件中按此模板提供承诺函，未提供视为未实质性响应招标文件要求，按无效投标（响应）处理。</w:t>
      </w:r>
    </w:p>
    <w:p w14:paraId="10787DDD">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2.供应商的法定代表人或者授权代表的签字或盖章应真实、有效，如由授权代表签字或盖章的，应提供“法定代表人授权书”。</w:t>
      </w:r>
    </w:p>
    <w:p w14:paraId="76231F70">
      <w:pPr>
        <w:pStyle w:val="2"/>
        <w:keepNext w:val="0"/>
        <w:pageBreakBefore w:val="0"/>
        <w:widowControl w:val="0"/>
        <w:overflowPunct/>
        <w:topLinePunct w:val="0"/>
        <w:bidi w:val="0"/>
        <w:spacing w:beforeAutospacing="0" w:afterAutospacing="0" w:line="460" w:lineRule="atLeast"/>
        <w:jc w:val="both"/>
        <w:rPr>
          <w:rFonts w:hint="eastAsia" w:ascii="宋体" w:hAnsi="宋体" w:eastAsia="宋体" w:cs="宋体"/>
          <w:b/>
          <w:bCs/>
          <w:color w:val="auto"/>
          <w:sz w:val="28"/>
          <w:szCs w:val="28"/>
          <w:highlight w:val="none"/>
        </w:rPr>
        <w:sectPr>
          <w:pgSz w:w="11906" w:h="16838"/>
          <w:pgMar w:top="1417" w:right="1474" w:bottom="1417" w:left="1474" w:header="851" w:footer="624" w:gutter="0"/>
          <w:pgNumType w:fmt="decimal"/>
          <w:cols w:space="720" w:num="1"/>
          <w:docGrid w:type="lines" w:linePitch="319" w:charSpace="0"/>
        </w:sectPr>
      </w:pPr>
    </w:p>
    <w:p w14:paraId="36FCA787">
      <w:pPr>
        <w:keepNext w:val="0"/>
        <w:pageBreakBefore w:val="0"/>
        <w:widowControl w:val="0"/>
        <w:overflowPunct/>
        <w:topLinePunct w:val="0"/>
        <w:bidi w:val="0"/>
        <w:rPr>
          <w:rFonts w:hint="eastAsia" w:ascii="宋体" w:hAnsi="宋体" w:eastAsia="宋体" w:cs="宋体"/>
          <w:color w:val="auto"/>
          <w:highlight w:val="none"/>
          <w:lang w:eastAsia="zh-CN"/>
        </w:rPr>
      </w:pPr>
      <w:bookmarkStart w:id="98" w:name="_Toc31685"/>
      <w:bookmarkStart w:id="99" w:name="_Toc25094"/>
      <w:bookmarkStart w:id="100" w:name="_Toc23394"/>
    </w:p>
    <w:p w14:paraId="24DE6E54">
      <w:pPr>
        <w:pStyle w:val="5"/>
        <w:keepNext w:val="0"/>
        <w:keepLines/>
        <w:pageBreakBefore w:val="0"/>
        <w:widowControl w:val="0"/>
        <w:kinsoku/>
        <w:wordWrap/>
        <w:overflowPunct/>
        <w:topLinePunct w:val="0"/>
        <w:autoSpaceDE/>
        <w:autoSpaceDN/>
        <w:bidi w:val="0"/>
        <w:adjustRightInd/>
        <w:snapToGrid w:val="0"/>
        <w:spacing w:before="20" w:after="20" w:line="36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认为有必要的其他资料</w:t>
      </w:r>
      <w:bookmarkEnd w:id="98"/>
      <w:bookmarkEnd w:id="99"/>
      <w:bookmarkEnd w:id="100"/>
    </w:p>
    <w:p w14:paraId="6AA68725">
      <w:pPr>
        <w:keepNext w:val="0"/>
        <w:pageBreakBefore w:val="0"/>
        <w:widowControl w:val="0"/>
        <w:overflowPunct/>
        <w:topLinePunct w:val="0"/>
        <w:bidi w:val="0"/>
        <w:spacing w:line="360" w:lineRule="auto"/>
        <w:ind w:firstLine="42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备注：</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应当仔细核对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文件中有关废标条款和评标标准，提供</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认为应当附加的其它内容，以充分证明其投标符合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文件规定，并为评标提供充分依据。如果</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未能提供相关证明文件，将有可能导致废标或者无法得分。</w:t>
      </w:r>
    </w:p>
    <w:p w14:paraId="60619179">
      <w:pPr>
        <w:pStyle w:val="2"/>
        <w:keepNext w:val="0"/>
        <w:pageBreakBefore w:val="0"/>
        <w:widowControl w:val="0"/>
        <w:overflowPunct/>
        <w:topLinePunct w:val="0"/>
        <w:bidi w:val="0"/>
        <w:spacing w:beforeAutospacing="0" w:afterAutospacing="0" w:line="460" w:lineRule="atLeast"/>
        <w:jc w:val="both"/>
        <w:rPr>
          <w:rFonts w:hint="eastAsia" w:ascii="宋体" w:hAnsi="宋体" w:eastAsia="宋体" w:cs="宋体"/>
          <w:b/>
          <w:bCs/>
          <w:color w:val="auto"/>
          <w:sz w:val="28"/>
          <w:szCs w:val="28"/>
          <w:highlight w:val="none"/>
        </w:rPr>
      </w:pPr>
    </w:p>
    <w:sectPr>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20089">
    <w:pPr>
      <w:pStyle w:val="21"/>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2EF6B5B">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14:paraId="62EF6B5B">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C7533">
    <w:pPr>
      <w:pStyle w:val="21"/>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14:paraId="26B58A8D">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14:paraId="26B58A8D">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14:paraId="1B4A088B">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D41D8B">
    <w:pPr>
      <w:pStyle w:val="23"/>
      <w:jc w:val="center"/>
      <w:rPr>
        <w:rFonts w:hint="eastAsia"/>
      </w:rPr>
    </w:pPr>
    <w:r>
      <w:rPr>
        <w:rFonts w:hint="eastAsia" w:ascii="宋体" w:hAnsi="宋体" w:cs="宋体"/>
        <w:color w:val="auto"/>
        <w:szCs w:val="21"/>
        <w:highlight w:val="none"/>
        <w:u w:val="none"/>
        <w:shd w:val="clear" w:color="auto" w:fill="FFFFFF"/>
        <w:lang w:val="en-US" w:eastAsia="zh-CN"/>
      </w:rPr>
      <w:t>驻马店市中心医院3号楼应急照明系统电池、应急照明灯具采购安装项目采购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A954FB"/>
    <w:multiLevelType w:val="singleLevel"/>
    <w:tmpl w:val="E8A954FB"/>
    <w:lvl w:ilvl="0" w:tentative="0">
      <w:start w:val="1"/>
      <w:numFmt w:val="decimal"/>
      <w:suff w:val="nothing"/>
      <w:lvlText w:val="%1、"/>
      <w:lvlJc w:val="left"/>
    </w:lvl>
  </w:abstractNum>
  <w:abstractNum w:abstractNumId="1">
    <w:nsid w:val="59B6410A"/>
    <w:multiLevelType w:val="singleLevel"/>
    <w:tmpl w:val="59B6410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xZTMwNmMyMDcwMThhNDM2NzZhZjYxYzY5Y2VkNzQ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1344"/>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3F46"/>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5500"/>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45FBF"/>
    <w:rsid w:val="017E6D95"/>
    <w:rsid w:val="018D0058"/>
    <w:rsid w:val="01976717"/>
    <w:rsid w:val="01D715BE"/>
    <w:rsid w:val="01EB45BC"/>
    <w:rsid w:val="01F04981"/>
    <w:rsid w:val="01F9035B"/>
    <w:rsid w:val="01FA63A5"/>
    <w:rsid w:val="02011C7D"/>
    <w:rsid w:val="02035523"/>
    <w:rsid w:val="020C008E"/>
    <w:rsid w:val="021C6E40"/>
    <w:rsid w:val="02222FF2"/>
    <w:rsid w:val="023615AF"/>
    <w:rsid w:val="02384FF4"/>
    <w:rsid w:val="023D0B8F"/>
    <w:rsid w:val="023F67A9"/>
    <w:rsid w:val="0247575A"/>
    <w:rsid w:val="025235B1"/>
    <w:rsid w:val="025B7E96"/>
    <w:rsid w:val="0262674D"/>
    <w:rsid w:val="02747B01"/>
    <w:rsid w:val="027619AC"/>
    <w:rsid w:val="02890D36"/>
    <w:rsid w:val="02B97DFD"/>
    <w:rsid w:val="02C866AB"/>
    <w:rsid w:val="02D92EF7"/>
    <w:rsid w:val="02DA4665"/>
    <w:rsid w:val="02F40325"/>
    <w:rsid w:val="02FA082F"/>
    <w:rsid w:val="03072104"/>
    <w:rsid w:val="031126C4"/>
    <w:rsid w:val="034733B8"/>
    <w:rsid w:val="03475E56"/>
    <w:rsid w:val="0353518A"/>
    <w:rsid w:val="035E4919"/>
    <w:rsid w:val="03675F31"/>
    <w:rsid w:val="036A009A"/>
    <w:rsid w:val="037A734D"/>
    <w:rsid w:val="03844805"/>
    <w:rsid w:val="03845791"/>
    <w:rsid w:val="03A011E9"/>
    <w:rsid w:val="03AE7F27"/>
    <w:rsid w:val="03BD2BCD"/>
    <w:rsid w:val="03CC058D"/>
    <w:rsid w:val="03E017D2"/>
    <w:rsid w:val="03F447E2"/>
    <w:rsid w:val="03F77068"/>
    <w:rsid w:val="03FB660C"/>
    <w:rsid w:val="042E37DB"/>
    <w:rsid w:val="04416C20"/>
    <w:rsid w:val="04732647"/>
    <w:rsid w:val="047968B1"/>
    <w:rsid w:val="04870542"/>
    <w:rsid w:val="04B30F7A"/>
    <w:rsid w:val="050E236F"/>
    <w:rsid w:val="054C0111"/>
    <w:rsid w:val="05545DD3"/>
    <w:rsid w:val="05600E1D"/>
    <w:rsid w:val="056E2AD6"/>
    <w:rsid w:val="05720B50"/>
    <w:rsid w:val="05806815"/>
    <w:rsid w:val="058251D3"/>
    <w:rsid w:val="058C28F1"/>
    <w:rsid w:val="05945CCE"/>
    <w:rsid w:val="059D05A4"/>
    <w:rsid w:val="059D5E17"/>
    <w:rsid w:val="059E1E1A"/>
    <w:rsid w:val="05AB0A28"/>
    <w:rsid w:val="05AB0F81"/>
    <w:rsid w:val="05B93D6B"/>
    <w:rsid w:val="05C23EEE"/>
    <w:rsid w:val="05CA4074"/>
    <w:rsid w:val="05D53002"/>
    <w:rsid w:val="05D75738"/>
    <w:rsid w:val="05EB110D"/>
    <w:rsid w:val="05EB4481"/>
    <w:rsid w:val="05F17CC7"/>
    <w:rsid w:val="061E7D14"/>
    <w:rsid w:val="06446B44"/>
    <w:rsid w:val="06560AED"/>
    <w:rsid w:val="066469C9"/>
    <w:rsid w:val="066646A1"/>
    <w:rsid w:val="066E164D"/>
    <w:rsid w:val="06752568"/>
    <w:rsid w:val="068E7B23"/>
    <w:rsid w:val="06983B20"/>
    <w:rsid w:val="069A3B66"/>
    <w:rsid w:val="06A869D6"/>
    <w:rsid w:val="06A9264E"/>
    <w:rsid w:val="06B31420"/>
    <w:rsid w:val="06B91765"/>
    <w:rsid w:val="06CA2AD2"/>
    <w:rsid w:val="06CB0D68"/>
    <w:rsid w:val="06CE3071"/>
    <w:rsid w:val="06D33DBA"/>
    <w:rsid w:val="06D73361"/>
    <w:rsid w:val="06E13F9F"/>
    <w:rsid w:val="06FB0AC5"/>
    <w:rsid w:val="06FE7278"/>
    <w:rsid w:val="070D2D5D"/>
    <w:rsid w:val="07104A12"/>
    <w:rsid w:val="07111B8D"/>
    <w:rsid w:val="072C5514"/>
    <w:rsid w:val="0737768A"/>
    <w:rsid w:val="074A5B92"/>
    <w:rsid w:val="075D0147"/>
    <w:rsid w:val="075E3193"/>
    <w:rsid w:val="078E18EB"/>
    <w:rsid w:val="078E6F77"/>
    <w:rsid w:val="07AA2823"/>
    <w:rsid w:val="07B02D9F"/>
    <w:rsid w:val="07B10EA5"/>
    <w:rsid w:val="07C510CB"/>
    <w:rsid w:val="07CD6512"/>
    <w:rsid w:val="07CE3FA1"/>
    <w:rsid w:val="07EC2ECB"/>
    <w:rsid w:val="07FE66CB"/>
    <w:rsid w:val="080B4D47"/>
    <w:rsid w:val="081B727D"/>
    <w:rsid w:val="081D2FF5"/>
    <w:rsid w:val="08321601"/>
    <w:rsid w:val="08326375"/>
    <w:rsid w:val="083D5C91"/>
    <w:rsid w:val="0847191F"/>
    <w:rsid w:val="08591DC3"/>
    <w:rsid w:val="085B58CB"/>
    <w:rsid w:val="08672793"/>
    <w:rsid w:val="08695E80"/>
    <w:rsid w:val="087C4541"/>
    <w:rsid w:val="087E5595"/>
    <w:rsid w:val="08BC0A60"/>
    <w:rsid w:val="08C52D6F"/>
    <w:rsid w:val="08DA2F68"/>
    <w:rsid w:val="08E42BE4"/>
    <w:rsid w:val="08EF0201"/>
    <w:rsid w:val="08F41DE8"/>
    <w:rsid w:val="093D1475"/>
    <w:rsid w:val="094840A2"/>
    <w:rsid w:val="09644C54"/>
    <w:rsid w:val="09737462"/>
    <w:rsid w:val="0983332C"/>
    <w:rsid w:val="099156C3"/>
    <w:rsid w:val="09A33F5B"/>
    <w:rsid w:val="09A53F39"/>
    <w:rsid w:val="09A60E13"/>
    <w:rsid w:val="09A82D92"/>
    <w:rsid w:val="09AB2883"/>
    <w:rsid w:val="09CD0A4B"/>
    <w:rsid w:val="09D206F0"/>
    <w:rsid w:val="0A321AC2"/>
    <w:rsid w:val="0A343D4E"/>
    <w:rsid w:val="0A344626"/>
    <w:rsid w:val="0A3B21D4"/>
    <w:rsid w:val="0A3E6D2E"/>
    <w:rsid w:val="0A4232E4"/>
    <w:rsid w:val="0A4F145F"/>
    <w:rsid w:val="0A8455AD"/>
    <w:rsid w:val="0A8729A8"/>
    <w:rsid w:val="0AD13A85"/>
    <w:rsid w:val="0AE0655C"/>
    <w:rsid w:val="0AE22AF4"/>
    <w:rsid w:val="0B024FCD"/>
    <w:rsid w:val="0B091954"/>
    <w:rsid w:val="0B195776"/>
    <w:rsid w:val="0B34773E"/>
    <w:rsid w:val="0B3B7D65"/>
    <w:rsid w:val="0B434C20"/>
    <w:rsid w:val="0B5F0822"/>
    <w:rsid w:val="0B637D77"/>
    <w:rsid w:val="0B7006C4"/>
    <w:rsid w:val="0B726646"/>
    <w:rsid w:val="0B7606E8"/>
    <w:rsid w:val="0B8B471A"/>
    <w:rsid w:val="0B924545"/>
    <w:rsid w:val="0BAC324F"/>
    <w:rsid w:val="0BC11EE9"/>
    <w:rsid w:val="0BF16C73"/>
    <w:rsid w:val="0BF72F1E"/>
    <w:rsid w:val="0C0A7D34"/>
    <w:rsid w:val="0C230DF6"/>
    <w:rsid w:val="0C3152C1"/>
    <w:rsid w:val="0C3957A5"/>
    <w:rsid w:val="0C507E2F"/>
    <w:rsid w:val="0C600D66"/>
    <w:rsid w:val="0C626DA7"/>
    <w:rsid w:val="0C6876AE"/>
    <w:rsid w:val="0C71390F"/>
    <w:rsid w:val="0C720EC8"/>
    <w:rsid w:val="0C942042"/>
    <w:rsid w:val="0C9D50DC"/>
    <w:rsid w:val="0CA05FA3"/>
    <w:rsid w:val="0CA5271D"/>
    <w:rsid w:val="0CAC4D10"/>
    <w:rsid w:val="0CC53C5B"/>
    <w:rsid w:val="0CC72121"/>
    <w:rsid w:val="0CEE5A21"/>
    <w:rsid w:val="0D05268E"/>
    <w:rsid w:val="0D0646E7"/>
    <w:rsid w:val="0D0C38CA"/>
    <w:rsid w:val="0D206810"/>
    <w:rsid w:val="0D4861FD"/>
    <w:rsid w:val="0D735465"/>
    <w:rsid w:val="0DBE0DD6"/>
    <w:rsid w:val="0DC577E0"/>
    <w:rsid w:val="0DDC6319"/>
    <w:rsid w:val="0DE1181F"/>
    <w:rsid w:val="0DFE4F67"/>
    <w:rsid w:val="0DFF4F4B"/>
    <w:rsid w:val="0E0C0D4C"/>
    <w:rsid w:val="0E115DA1"/>
    <w:rsid w:val="0E1409F6"/>
    <w:rsid w:val="0E162D6D"/>
    <w:rsid w:val="0E460DCC"/>
    <w:rsid w:val="0E541CA2"/>
    <w:rsid w:val="0E594756"/>
    <w:rsid w:val="0E95596D"/>
    <w:rsid w:val="0EAE6205"/>
    <w:rsid w:val="0EAE6579"/>
    <w:rsid w:val="0EAF71BF"/>
    <w:rsid w:val="0ECE6257"/>
    <w:rsid w:val="0EE4129D"/>
    <w:rsid w:val="0F171032"/>
    <w:rsid w:val="0F335E69"/>
    <w:rsid w:val="0F372614"/>
    <w:rsid w:val="0F3D59C9"/>
    <w:rsid w:val="0F516D5A"/>
    <w:rsid w:val="0F565B36"/>
    <w:rsid w:val="0F684933"/>
    <w:rsid w:val="0F6E2388"/>
    <w:rsid w:val="0F821E7D"/>
    <w:rsid w:val="0FC91CB4"/>
    <w:rsid w:val="0FCA42ED"/>
    <w:rsid w:val="0FDB5F4F"/>
    <w:rsid w:val="0FE7592C"/>
    <w:rsid w:val="0FEE5277"/>
    <w:rsid w:val="0FFC17A5"/>
    <w:rsid w:val="0FFD20F0"/>
    <w:rsid w:val="10142F30"/>
    <w:rsid w:val="10352857"/>
    <w:rsid w:val="103E6E57"/>
    <w:rsid w:val="1041497B"/>
    <w:rsid w:val="10425FF6"/>
    <w:rsid w:val="106612B1"/>
    <w:rsid w:val="109010E6"/>
    <w:rsid w:val="10B271F4"/>
    <w:rsid w:val="10B537CC"/>
    <w:rsid w:val="10C61D50"/>
    <w:rsid w:val="10C8275C"/>
    <w:rsid w:val="10C86D3B"/>
    <w:rsid w:val="10E03539"/>
    <w:rsid w:val="10E82D1F"/>
    <w:rsid w:val="10EE5C94"/>
    <w:rsid w:val="10F5757C"/>
    <w:rsid w:val="10F93ED3"/>
    <w:rsid w:val="111D7BC2"/>
    <w:rsid w:val="11250F40"/>
    <w:rsid w:val="113329E7"/>
    <w:rsid w:val="113F294C"/>
    <w:rsid w:val="11437C85"/>
    <w:rsid w:val="11575085"/>
    <w:rsid w:val="1166372C"/>
    <w:rsid w:val="11700D10"/>
    <w:rsid w:val="1174051F"/>
    <w:rsid w:val="1178125A"/>
    <w:rsid w:val="118441E0"/>
    <w:rsid w:val="1196056D"/>
    <w:rsid w:val="11B85B3D"/>
    <w:rsid w:val="11CD20A0"/>
    <w:rsid w:val="11D34654"/>
    <w:rsid w:val="12010480"/>
    <w:rsid w:val="120E707F"/>
    <w:rsid w:val="121D0051"/>
    <w:rsid w:val="12321031"/>
    <w:rsid w:val="12413D84"/>
    <w:rsid w:val="127A7D1C"/>
    <w:rsid w:val="12836D8B"/>
    <w:rsid w:val="12993BC0"/>
    <w:rsid w:val="12AB0349"/>
    <w:rsid w:val="12B66520"/>
    <w:rsid w:val="12CD57F1"/>
    <w:rsid w:val="12CE5941"/>
    <w:rsid w:val="12CE7AFA"/>
    <w:rsid w:val="12D67466"/>
    <w:rsid w:val="13036052"/>
    <w:rsid w:val="130A061A"/>
    <w:rsid w:val="131B2827"/>
    <w:rsid w:val="13272A5D"/>
    <w:rsid w:val="132A2A6A"/>
    <w:rsid w:val="133C40E3"/>
    <w:rsid w:val="13410069"/>
    <w:rsid w:val="13493108"/>
    <w:rsid w:val="134A4EBA"/>
    <w:rsid w:val="13713CFE"/>
    <w:rsid w:val="13733928"/>
    <w:rsid w:val="13741F37"/>
    <w:rsid w:val="13857CA0"/>
    <w:rsid w:val="13920D68"/>
    <w:rsid w:val="139C16C9"/>
    <w:rsid w:val="13A5238E"/>
    <w:rsid w:val="13B63CE1"/>
    <w:rsid w:val="13BC6684"/>
    <w:rsid w:val="13C72B3A"/>
    <w:rsid w:val="13D12EE6"/>
    <w:rsid w:val="13DF575E"/>
    <w:rsid w:val="13E470BD"/>
    <w:rsid w:val="13EE3A98"/>
    <w:rsid w:val="13F3280A"/>
    <w:rsid w:val="142123F7"/>
    <w:rsid w:val="142A11D8"/>
    <w:rsid w:val="144B544C"/>
    <w:rsid w:val="145B7B45"/>
    <w:rsid w:val="14627FE2"/>
    <w:rsid w:val="14717443"/>
    <w:rsid w:val="14825F8A"/>
    <w:rsid w:val="148C70AD"/>
    <w:rsid w:val="148D52E3"/>
    <w:rsid w:val="14992B90"/>
    <w:rsid w:val="149F10C7"/>
    <w:rsid w:val="14AF1856"/>
    <w:rsid w:val="14AF19A3"/>
    <w:rsid w:val="14B22D17"/>
    <w:rsid w:val="14B53957"/>
    <w:rsid w:val="14C53ECE"/>
    <w:rsid w:val="14CF6CB0"/>
    <w:rsid w:val="14D10E8D"/>
    <w:rsid w:val="14DB04C0"/>
    <w:rsid w:val="14DC5FE6"/>
    <w:rsid w:val="14E002E6"/>
    <w:rsid w:val="14FC36BD"/>
    <w:rsid w:val="14FF5EA7"/>
    <w:rsid w:val="15127C5A"/>
    <w:rsid w:val="151E3A0F"/>
    <w:rsid w:val="152534E9"/>
    <w:rsid w:val="153A36AA"/>
    <w:rsid w:val="15477903"/>
    <w:rsid w:val="1557566D"/>
    <w:rsid w:val="156E0971"/>
    <w:rsid w:val="15785B3E"/>
    <w:rsid w:val="15811F1B"/>
    <w:rsid w:val="15A30135"/>
    <w:rsid w:val="15A34015"/>
    <w:rsid w:val="15BB487B"/>
    <w:rsid w:val="15CE086D"/>
    <w:rsid w:val="15E2236F"/>
    <w:rsid w:val="16005D04"/>
    <w:rsid w:val="161D09ED"/>
    <w:rsid w:val="162323A3"/>
    <w:rsid w:val="162F30B1"/>
    <w:rsid w:val="1650762F"/>
    <w:rsid w:val="16510F12"/>
    <w:rsid w:val="166448F9"/>
    <w:rsid w:val="1677211D"/>
    <w:rsid w:val="16774218"/>
    <w:rsid w:val="167954F9"/>
    <w:rsid w:val="169A7F07"/>
    <w:rsid w:val="169C5A2D"/>
    <w:rsid w:val="169F7296"/>
    <w:rsid w:val="16A060BA"/>
    <w:rsid w:val="16A57EAF"/>
    <w:rsid w:val="16A918E4"/>
    <w:rsid w:val="16AC6E3F"/>
    <w:rsid w:val="16B56AEF"/>
    <w:rsid w:val="16C872D5"/>
    <w:rsid w:val="16D54FA3"/>
    <w:rsid w:val="16D84D9F"/>
    <w:rsid w:val="16E94D3E"/>
    <w:rsid w:val="170D06E0"/>
    <w:rsid w:val="17233E03"/>
    <w:rsid w:val="17332185"/>
    <w:rsid w:val="17475951"/>
    <w:rsid w:val="175C542D"/>
    <w:rsid w:val="175D0ED4"/>
    <w:rsid w:val="17793FC0"/>
    <w:rsid w:val="179D33A9"/>
    <w:rsid w:val="179F2E61"/>
    <w:rsid w:val="17A06264"/>
    <w:rsid w:val="17BE19D3"/>
    <w:rsid w:val="17C227C0"/>
    <w:rsid w:val="17D66D7C"/>
    <w:rsid w:val="17EE5BFF"/>
    <w:rsid w:val="18097740"/>
    <w:rsid w:val="18136133"/>
    <w:rsid w:val="181D494B"/>
    <w:rsid w:val="184055B9"/>
    <w:rsid w:val="184A2082"/>
    <w:rsid w:val="185D3C42"/>
    <w:rsid w:val="185F38AF"/>
    <w:rsid w:val="188F0211"/>
    <w:rsid w:val="18AD1BEB"/>
    <w:rsid w:val="18B3004A"/>
    <w:rsid w:val="18B31B6D"/>
    <w:rsid w:val="18B96080"/>
    <w:rsid w:val="18CE20EA"/>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9A753EF"/>
    <w:rsid w:val="1A125525"/>
    <w:rsid w:val="1A584361"/>
    <w:rsid w:val="1A5F4342"/>
    <w:rsid w:val="1A616E2C"/>
    <w:rsid w:val="1A715D02"/>
    <w:rsid w:val="1A7F369B"/>
    <w:rsid w:val="1A8C5D82"/>
    <w:rsid w:val="1A994988"/>
    <w:rsid w:val="1A9B546C"/>
    <w:rsid w:val="1A9E141F"/>
    <w:rsid w:val="1AA3511F"/>
    <w:rsid w:val="1AAE3B54"/>
    <w:rsid w:val="1AC10987"/>
    <w:rsid w:val="1AEB6F83"/>
    <w:rsid w:val="1AF423FA"/>
    <w:rsid w:val="1AF649F1"/>
    <w:rsid w:val="1B0C5B32"/>
    <w:rsid w:val="1B0D3E82"/>
    <w:rsid w:val="1B1464DA"/>
    <w:rsid w:val="1B1652AB"/>
    <w:rsid w:val="1B181CD5"/>
    <w:rsid w:val="1B265306"/>
    <w:rsid w:val="1B4346C9"/>
    <w:rsid w:val="1B486183"/>
    <w:rsid w:val="1B4F2450"/>
    <w:rsid w:val="1B50619C"/>
    <w:rsid w:val="1B530868"/>
    <w:rsid w:val="1B6573E8"/>
    <w:rsid w:val="1B6922A5"/>
    <w:rsid w:val="1B721452"/>
    <w:rsid w:val="1B8C18B7"/>
    <w:rsid w:val="1BB73AE1"/>
    <w:rsid w:val="1BDA6D68"/>
    <w:rsid w:val="1BF14125"/>
    <w:rsid w:val="1C002CEE"/>
    <w:rsid w:val="1C4032FE"/>
    <w:rsid w:val="1C555978"/>
    <w:rsid w:val="1C6554A1"/>
    <w:rsid w:val="1C7971B7"/>
    <w:rsid w:val="1C8036FB"/>
    <w:rsid w:val="1C917D91"/>
    <w:rsid w:val="1C9D42AD"/>
    <w:rsid w:val="1CAB2820"/>
    <w:rsid w:val="1CD402EC"/>
    <w:rsid w:val="1CED16EF"/>
    <w:rsid w:val="1CF02333"/>
    <w:rsid w:val="1D0C33A2"/>
    <w:rsid w:val="1D0C4F8F"/>
    <w:rsid w:val="1D113E6E"/>
    <w:rsid w:val="1D114E5E"/>
    <w:rsid w:val="1D1F0050"/>
    <w:rsid w:val="1D214EDE"/>
    <w:rsid w:val="1D2222DC"/>
    <w:rsid w:val="1D5144F7"/>
    <w:rsid w:val="1D5B3CDE"/>
    <w:rsid w:val="1D5D0701"/>
    <w:rsid w:val="1D6E2950"/>
    <w:rsid w:val="1D79298C"/>
    <w:rsid w:val="1D98209B"/>
    <w:rsid w:val="1DA23746"/>
    <w:rsid w:val="1DAA14B9"/>
    <w:rsid w:val="1DD04513"/>
    <w:rsid w:val="1DD8524D"/>
    <w:rsid w:val="1DDD2BCB"/>
    <w:rsid w:val="1E0345E3"/>
    <w:rsid w:val="1E1B7B7F"/>
    <w:rsid w:val="1E443370"/>
    <w:rsid w:val="1E656063"/>
    <w:rsid w:val="1E6B06A5"/>
    <w:rsid w:val="1E7554E1"/>
    <w:rsid w:val="1E7F7D9E"/>
    <w:rsid w:val="1E840DA4"/>
    <w:rsid w:val="1EA5444C"/>
    <w:rsid w:val="1EB350EF"/>
    <w:rsid w:val="1EC21749"/>
    <w:rsid w:val="1EE95587"/>
    <w:rsid w:val="1EEB7C4E"/>
    <w:rsid w:val="1F072441"/>
    <w:rsid w:val="1F171B83"/>
    <w:rsid w:val="1F2D4691"/>
    <w:rsid w:val="1F2D491A"/>
    <w:rsid w:val="1F3F789D"/>
    <w:rsid w:val="1F4E5D32"/>
    <w:rsid w:val="1F66355F"/>
    <w:rsid w:val="1F7369C7"/>
    <w:rsid w:val="1F9113A9"/>
    <w:rsid w:val="1F94547B"/>
    <w:rsid w:val="1FA47700"/>
    <w:rsid w:val="1FAF308C"/>
    <w:rsid w:val="1FB64FF9"/>
    <w:rsid w:val="1FC11109"/>
    <w:rsid w:val="1FDA3223"/>
    <w:rsid w:val="1FDE2C12"/>
    <w:rsid w:val="1FEF08C8"/>
    <w:rsid w:val="1FF72E6A"/>
    <w:rsid w:val="1FFB6F12"/>
    <w:rsid w:val="201B3ED4"/>
    <w:rsid w:val="201C373B"/>
    <w:rsid w:val="20230F6D"/>
    <w:rsid w:val="20310B02"/>
    <w:rsid w:val="20344F28"/>
    <w:rsid w:val="204213F3"/>
    <w:rsid w:val="206F0406"/>
    <w:rsid w:val="207417C9"/>
    <w:rsid w:val="20784063"/>
    <w:rsid w:val="207865C4"/>
    <w:rsid w:val="207E346A"/>
    <w:rsid w:val="208E12C3"/>
    <w:rsid w:val="209502A3"/>
    <w:rsid w:val="20EA3839"/>
    <w:rsid w:val="2100305C"/>
    <w:rsid w:val="210F579E"/>
    <w:rsid w:val="21163FF0"/>
    <w:rsid w:val="211B39F2"/>
    <w:rsid w:val="212550B5"/>
    <w:rsid w:val="21592B62"/>
    <w:rsid w:val="215C5E19"/>
    <w:rsid w:val="2172049B"/>
    <w:rsid w:val="21747CD2"/>
    <w:rsid w:val="219263AA"/>
    <w:rsid w:val="219E5782"/>
    <w:rsid w:val="21D10545"/>
    <w:rsid w:val="21DE339D"/>
    <w:rsid w:val="21E72B0B"/>
    <w:rsid w:val="21E76A4A"/>
    <w:rsid w:val="21EE607E"/>
    <w:rsid w:val="21F66F4C"/>
    <w:rsid w:val="221F2D96"/>
    <w:rsid w:val="22246DB1"/>
    <w:rsid w:val="22440067"/>
    <w:rsid w:val="225A6017"/>
    <w:rsid w:val="22631AF5"/>
    <w:rsid w:val="227A5532"/>
    <w:rsid w:val="22843A03"/>
    <w:rsid w:val="228E5C2C"/>
    <w:rsid w:val="22A338AB"/>
    <w:rsid w:val="22AD37A2"/>
    <w:rsid w:val="22B31E8A"/>
    <w:rsid w:val="22C05285"/>
    <w:rsid w:val="22C735BD"/>
    <w:rsid w:val="22CF0F38"/>
    <w:rsid w:val="22D729A8"/>
    <w:rsid w:val="22F06957"/>
    <w:rsid w:val="23057681"/>
    <w:rsid w:val="23122833"/>
    <w:rsid w:val="231D4917"/>
    <w:rsid w:val="23223458"/>
    <w:rsid w:val="23225D32"/>
    <w:rsid w:val="23357BE6"/>
    <w:rsid w:val="2342574E"/>
    <w:rsid w:val="2355143D"/>
    <w:rsid w:val="236D1BFA"/>
    <w:rsid w:val="236D331D"/>
    <w:rsid w:val="2377331D"/>
    <w:rsid w:val="237D43DE"/>
    <w:rsid w:val="23940114"/>
    <w:rsid w:val="239A1546"/>
    <w:rsid w:val="23B57016"/>
    <w:rsid w:val="23BC770E"/>
    <w:rsid w:val="23C30A9D"/>
    <w:rsid w:val="23C4797E"/>
    <w:rsid w:val="23CD5478"/>
    <w:rsid w:val="23D4764B"/>
    <w:rsid w:val="23EC3718"/>
    <w:rsid w:val="23EE304F"/>
    <w:rsid w:val="240243FC"/>
    <w:rsid w:val="24044EF2"/>
    <w:rsid w:val="2407139D"/>
    <w:rsid w:val="240B04F4"/>
    <w:rsid w:val="240E369A"/>
    <w:rsid w:val="241E2177"/>
    <w:rsid w:val="242A0646"/>
    <w:rsid w:val="2435301D"/>
    <w:rsid w:val="243A0633"/>
    <w:rsid w:val="243D6E1A"/>
    <w:rsid w:val="24453D05"/>
    <w:rsid w:val="244A2F6C"/>
    <w:rsid w:val="24607F91"/>
    <w:rsid w:val="246C581B"/>
    <w:rsid w:val="247C52A2"/>
    <w:rsid w:val="24942917"/>
    <w:rsid w:val="24AE34FB"/>
    <w:rsid w:val="24CC106B"/>
    <w:rsid w:val="24D00598"/>
    <w:rsid w:val="24D725E9"/>
    <w:rsid w:val="24EC31CF"/>
    <w:rsid w:val="25045F70"/>
    <w:rsid w:val="250474F1"/>
    <w:rsid w:val="25056E93"/>
    <w:rsid w:val="25092EBA"/>
    <w:rsid w:val="250E5D48"/>
    <w:rsid w:val="25241020"/>
    <w:rsid w:val="25302410"/>
    <w:rsid w:val="257572C3"/>
    <w:rsid w:val="25790E85"/>
    <w:rsid w:val="25965D3D"/>
    <w:rsid w:val="25972C60"/>
    <w:rsid w:val="25974C6F"/>
    <w:rsid w:val="259D1676"/>
    <w:rsid w:val="25A353EB"/>
    <w:rsid w:val="25B87B65"/>
    <w:rsid w:val="25CB78C3"/>
    <w:rsid w:val="25D54390"/>
    <w:rsid w:val="261879A7"/>
    <w:rsid w:val="261A071C"/>
    <w:rsid w:val="26395046"/>
    <w:rsid w:val="264B0BA4"/>
    <w:rsid w:val="264F4111"/>
    <w:rsid w:val="265E0AEC"/>
    <w:rsid w:val="2661459D"/>
    <w:rsid w:val="268C5256"/>
    <w:rsid w:val="268E455B"/>
    <w:rsid w:val="26912B30"/>
    <w:rsid w:val="269772F0"/>
    <w:rsid w:val="26997893"/>
    <w:rsid w:val="26A30712"/>
    <w:rsid w:val="26AC0C27"/>
    <w:rsid w:val="26C807A6"/>
    <w:rsid w:val="26D1527F"/>
    <w:rsid w:val="26D23F28"/>
    <w:rsid w:val="26DB67BA"/>
    <w:rsid w:val="26DE3298"/>
    <w:rsid w:val="26E311CD"/>
    <w:rsid w:val="26EF24ED"/>
    <w:rsid w:val="26F1408A"/>
    <w:rsid w:val="26F86CAF"/>
    <w:rsid w:val="26F96584"/>
    <w:rsid w:val="26FC4FA5"/>
    <w:rsid w:val="27015370"/>
    <w:rsid w:val="270B421F"/>
    <w:rsid w:val="270D4173"/>
    <w:rsid w:val="271F6B87"/>
    <w:rsid w:val="274E2228"/>
    <w:rsid w:val="27517A93"/>
    <w:rsid w:val="27565784"/>
    <w:rsid w:val="275E53AF"/>
    <w:rsid w:val="27606603"/>
    <w:rsid w:val="276658E8"/>
    <w:rsid w:val="276F6846"/>
    <w:rsid w:val="277E30D2"/>
    <w:rsid w:val="27803F2A"/>
    <w:rsid w:val="27822A1D"/>
    <w:rsid w:val="278A18D2"/>
    <w:rsid w:val="27983FEE"/>
    <w:rsid w:val="27A34941"/>
    <w:rsid w:val="27A97FAA"/>
    <w:rsid w:val="27EE3A7B"/>
    <w:rsid w:val="27FA25B3"/>
    <w:rsid w:val="28033B5E"/>
    <w:rsid w:val="280D0539"/>
    <w:rsid w:val="28100029"/>
    <w:rsid w:val="282B09BF"/>
    <w:rsid w:val="282E4F00"/>
    <w:rsid w:val="283C23DF"/>
    <w:rsid w:val="283D69F1"/>
    <w:rsid w:val="283F090E"/>
    <w:rsid w:val="284C16F5"/>
    <w:rsid w:val="28570AB5"/>
    <w:rsid w:val="285F2CDC"/>
    <w:rsid w:val="28622C36"/>
    <w:rsid w:val="2869172C"/>
    <w:rsid w:val="288C2D07"/>
    <w:rsid w:val="28996270"/>
    <w:rsid w:val="289E7E22"/>
    <w:rsid w:val="28C2534B"/>
    <w:rsid w:val="28C5525A"/>
    <w:rsid w:val="28D14B96"/>
    <w:rsid w:val="29020C46"/>
    <w:rsid w:val="290240C7"/>
    <w:rsid w:val="291713AF"/>
    <w:rsid w:val="291A2B97"/>
    <w:rsid w:val="29274EE0"/>
    <w:rsid w:val="294837F2"/>
    <w:rsid w:val="294F692F"/>
    <w:rsid w:val="295029E3"/>
    <w:rsid w:val="29543A59"/>
    <w:rsid w:val="29670ED3"/>
    <w:rsid w:val="2969197F"/>
    <w:rsid w:val="29746E87"/>
    <w:rsid w:val="297939AC"/>
    <w:rsid w:val="297C03C2"/>
    <w:rsid w:val="299573AB"/>
    <w:rsid w:val="29B05804"/>
    <w:rsid w:val="29BE5BD0"/>
    <w:rsid w:val="29C01572"/>
    <w:rsid w:val="29C25353"/>
    <w:rsid w:val="29CA4207"/>
    <w:rsid w:val="29D82DC8"/>
    <w:rsid w:val="29DA08EE"/>
    <w:rsid w:val="29DB6414"/>
    <w:rsid w:val="29E74CE2"/>
    <w:rsid w:val="2A133E00"/>
    <w:rsid w:val="2A241B69"/>
    <w:rsid w:val="2A306A36"/>
    <w:rsid w:val="2A457300"/>
    <w:rsid w:val="2A5372C6"/>
    <w:rsid w:val="2A5A558B"/>
    <w:rsid w:val="2A5B03D8"/>
    <w:rsid w:val="2A6F6D07"/>
    <w:rsid w:val="2A852253"/>
    <w:rsid w:val="2A882500"/>
    <w:rsid w:val="2AA35184"/>
    <w:rsid w:val="2AAB4E76"/>
    <w:rsid w:val="2AB63ABC"/>
    <w:rsid w:val="2AB63D0A"/>
    <w:rsid w:val="2AC31382"/>
    <w:rsid w:val="2AD0584D"/>
    <w:rsid w:val="2AD549F8"/>
    <w:rsid w:val="2AEA74E5"/>
    <w:rsid w:val="2AFB4FC0"/>
    <w:rsid w:val="2B003D00"/>
    <w:rsid w:val="2B074D5E"/>
    <w:rsid w:val="2B0A6991"/>
    <w:rsid w:val="2B100BA9"/>
    <w:rsid w:val="2B1B5825"/>
    <w:rsid w:val="2B1E3AFC"/>
    <w:rsid w:val="2B4A5600"/>
    <w:rsid w:val="2B574FD9"/>
    <w:rsid w:val="2B642979"/>
    <w:rsid w:val="2B681F2A"/>
    <w:rsid w:val="2B8D373E"/>
    <w:rsid w:val="2B9E4F56"/>
    <w:rsid w:val="2BD96984"/>
    <w:rsid w:val="2BDB5A88"/>
    <w:rsid w:val="2BDB6BA0"/>
    <w:rsid w:val="2BE91C37"/>
    <w:rsid w:val="2BEC3F72"/>
    <w:rsid w:val="2C083572"/>
    <w:rsid w:val="2C185F94"/>
    <w:rsid w:val="2C1D4AC2"/>
    <w:rsid w:val="2C1F1AC4"/>
    <w:rsid w:val="2C2045B2"/>
    <w:rsid w:val="2C2945BA"/>
    <w:rsid w:val="2C2E71FC"/>
    <w:rsid w:val="2C3F3A41"/>
    <w:rsid w:val="2C4431C4"/>
    <w:rsid w:val="2C55747C"/>
    <w:rsid w:val="2C62059F"/>
    <w:rsid w:val="2C6634FA"/>
    <w:rsid w:val="2C7843EE"/>
    <w:rsid w:val="2CA25191"/>
    <w:rsid w:val="2CAC022C"/>
    <w:rsid w:val="2CC11807"/>
    <w:rsid w:val="2CC66CD6"/>
    <w:rsid w:val="2CE327BC"/>
    <w:rsid w:val="2CF16074"/>
    <w:rsid w:val="2CF81D1B"/>
    <w:rsid w:val="2D0462BF"/>
    <w:rsid w:val="2D376058"/>
    <w:rsid w:val="2D3F2453"/>
    <w:rsid w:val="2D6F134E"/>
    <w:rsid w:val="2D835174"/>
    <w:rsid w:val="2D9331F9"/>
    <w:rsid w:val="2DD90B7B"/>
    <w:rsid w:val="2DD92C6B"/>
    <w:rsid w:val="2DDD3FC1"/>
    <w:rsid w:val="2DE531B8"/>
    <w:rsid w:val="2DEA131C"/>
    <w:rsid w:val="2DF701D8"/>
    <w:rsid w:val="2DF970A1"/>
    <w:rsid w:val="2E0665A9"/>
    <w:rsid w:val="2E085834"/>
    <w:rsid w:val="2E1034F8"/>
    <w:rsid w:val="2E112405"/>
    <w:rsid w:val="2E120D8E"/>
    <w:rsid w:val="2E310CF9"/>
    <w:rsid w:val="2E443652"/>
    <w:rsid w:val="2E505773"/>
    <w:rsid w:val="2E5C0A3D"/>
    <w:rsid w:val="2E742F70"/>
    <w:rsid w:val="2E9077CD"/>
    <w:rsid w:val="2E9574DA"/>
    <w:rsid w:val="2E9A689E"/>
    <w:rsid w:val="2ED61D9E"/>
    <w:rsid w:val="2EDC2A13"/>
    <w:rsid w:val="2EFD7DB9"/>
    <w:rsid w:val="2F1A081D"/>
    <w:rsid w:val="2F1C72B3"/>
    <w:rsid w:val="2F1E3DC0"/>
    <w:rsid w:val="2F2D326E"/>
    <w:rsid w:val="2F3112DE"/>
    <w:rsid w:val="2F3B6922"/>
    <w:rsid w:val="2F3D7B25"/>
    <w:rsid w:val="2F480119"/>
    <w:rsid w:val="2F506C6D"/>
    <w:rsid w:val="2F512253"/>
    <w:rsid w:val="2F51291F"/>
    <w:rsid w:val="2F55758A"/>
    <w:rsid w:val="2F68074A"/>
    <w:rsid w:val="2F7F15AE"/>
    <w:rsid w:val="2F912594"/>
    <w:rsid w:val="2F9F2999"/>
    <w:rsid w:val="2FA54796"/>
    <w:rsid w:val="2FA674E2"/>
    <w:rsid w:val="2FEE6EA1"/>
    <w:rsid w:val="2FFE7D49"/>
    <w:rsid w:val="3002294D"/>
    <w:rsid w:val="3011153D"/>
    <w:rsid w:val="30142680"/>
    <w:rsid w:val="302567CF"/>
    <w:rsid w:val="302A11B1"/>
    <w:rsid w:val="302A5C42"/>
    <w:rsid w:val="304A5411"/>
    <w:rsid w:val="30662043"/>
    <w:rsid w:val="306D3B35"/>
    <w:rsid w:val="307153DD"/>
    <w:rsid w:val="3083092C"/>
    <w:rsid w:val="30930D2E"/>
    <w:rsid w:val="30B8125D"/>
    <w:rsid w:val="30BF439A"/>
    <w:rsid w:val="30CF6A37"/>
    <w:rsid w:val="30D250CF"/>
    <w:rsid w:val="30E7260A"/>
    <w:rsid w:val="30EE18CD"/>
    <w:rsid w:val="31002970"/>
    <w:rsid w:val="311016AD"/>
    <w:rsid w:val="31220DA0"/>
    <w:rsid w:val="31253A1B"/>
    <w:rsid w:val="3136622A"/>
    <w:rsid w:val="31393501"/>
    <w:rsid w:val="3139422E"/>
    <w:rsid w:val="31496359"/>
    <w:rsid w:val="314D19A6"/>
    <w:rsid w:val="31580A38"/>
    <w:rsid w:val="316177A4"/>
    <w:rsid w:val="31700E4B"/>
    <w:rsid w:val="3172683C"/>
    <w:rsid w:val="318F773E"/>
    <w:rsid w:val="31A359FC"/>
    <w:rsid w:val="31AD0D61"/>
    <w:rsid w:val="31C003CA"/>
    <w:rsid w:val="31C42968"/>
    <w:rsid w:val="31CD297B"/>
    <w:rsid w:val="31CD73BD"/>
    <w:rsid w:val="31D66571"/>
    <w:rsid w:val="31DB4220"/>
    <w:rsid w:val="31DC56CD"/>
    <w:rsid w:val="31E63B94"/>
    <w:rsid w:val="31F27AF7"/>
    <w:rsid w:val="31FA74CA"/>
    <w:rsid w:val="32176602"/>
    <w:rsid w:val="322A7699"/>
    <w:rsid w:val="322B25C6"/>
    <w:rsid w:val="32422E70"/>
    <w:rsid w:val="325E56C6"/>
    <w:rsid w:val="3275698A"/>
    <w:rsid w:val="327C0679"/>
    <w:rsid w:val="32870EE7"/>
    <w:rsid w:val="328C29A2"/>
    <w:rsid w:val="32943B86"/>
    <w:rsid w:val="32A93829"/>
    <w:rsid w:val="32B943EC"/>
    <w:rsid w:val="32B9519B"/>
    <w:rsid w:val="32DC63A0"/>
    <w:rsid w:val="32E429C1"/>
    <w:rsid w:val="330503EE"/>
    <w:rsid w:val="33274478"/>
    <w:rsid w:val="334045BE"/>
    <w:rsid w:val="334A3B2A"/>
    <w:rsid w:val="3365592E"/>
    <w:rsid w:val="336A31F3"/>
    <w:rsid w:val="336F6533"/>
    <w:rsid w:val="337E5E2F"/>
    <w:rsid w:val="3384610D"/>
    <w:rsid w:val="33AA5979"/>
    <w:rsid w:val="33C03E90"/>
    <w:rsid w:val="33C96649"/>
    <w:rsid w:val="33CC3D88"/>
    <w:rsid w:val="33D939C5"/>
    <w:rsid w:val="33DD0306"/>
    <w:rsid w:val="33FD722F"/>
    <w:rsid w:val="3400362D"/>
    <w:rsid w:val="340B09C5"/>
    <w:rsid w:val="341E4CAB"/>
    <w:rsid w:val="34584EE2"/>
    <w:rsid w:val="347A1C51"/>
    <w:rsid w:val="347D373F"/>
    <w:rsid w:val="34922A93"/>
    <w:rsid w:val="34956481"/>
    <w:rsid w:val="34A35871"/>
    <w:rsid w:val="34C06C9D"/>
    <w:rsid w:val="34DB551B"/>
    <w:rsid w:val="34DF24AE"/>
    <w:rsid w:val="351C4931"/>
    <w:rsid w:val="351C4EAC"/>
    <w:rsid w:val="351D4C26"/>
    <w:rsid w:val="352B46F4"/>
    <w:rsid w:val="352E7D40"/>
    <w:rsid w:val="35361A77"/>
    <w:rsid w:val="35461A22"/>
    <w:rsid w:val="35483CC9"/>
    <w:rsid w:val="354B08F2"/>
    <w:rsid w:val="356E46AA"/>
    <w:rsid w:val="357235B0"/>
    <w:rsid w:val="3578502D"/>
    <w:rsid w:val="3586192A"/>
    <w:rsid w:val="358625C7"/>
    <w:rsid w:val="35A815CB"/>
    <w:rsid w:val="35A85BD0"/>
    <w:rsid w:val="35AA1B9C"/>
    <w:rsid w:val="35B9585C"/>
    <w:rsid w:val="35D501BC"/>
    <w:rsid w:val="35DB09A6"/>
    <w:rsid w:val="36080591"/>
    <w:rsid w:val="3609472F"/>
    <w:rsid w:val="36203B2D"/>
    <w:rsid w:val="363E0457"/>
    <w:rsid w:val="364C4922"/>
    <w:rsid w:val="365B4B65"/>
    <w:rsid w:val="36974A6F"/>
    <w:rsid w:val="369B4CF0"/>
    <w:rsid w:val="36D62629"/>
    <w:rsid w:val="36D76172"/>
    <w:rsid w:val="36D84407"/>
    <w:rsid w:val="36E833BB"/>
    <w:rsid w:val="36E92171"/>
    <w:rsid w:val="36EB1E1B"/>
    <w:rsid w:val="36F17F0D"/>
    <w:rsid w:val="36FB00F6"/>
    <w:rsid w:val="37103BA1"/>
    <w:rsid w:val="37224581"/>
    <w:rsid w:val="3735197D"/>
    <w:rsid w:val="373756A2"/>
    <w:rsid w:val="375E0DA6"/>
    <w:rsid w:val="377639AE"/>
    <w:rsid w:val="378142CB"/>
    <w:rsid w:val="378B61A6"/>
    <w:rsid w:val="37B90F0B"/>
    <w:rsid w:val="37CD3F98"/>
    <w:rsid w:val="37DF75BA"/>
    <w:rsid w:val="37E148E2"/>
    <w:rsid w:val="37F848EE"/>
    <w:rsid w:val="37F912FC"/>
    <w:rsid w:val="380D59EE"/>
    <w:rsid w:val="38304889"/>
    <w:rsid w:val="3836588A"/>
    <w:rsid w:val="38382675"/>
    <w:rsid w:val="383B7B0D"/>
    <w:rsid w:val="3848553B"/>
    <w:rsid w:val="3851700B"/>
    <w:rsid w:val="385246B6"/>
    <w:rsid w:val="385E6B8E"/>
    <w:rsid w:val="3876113B"/>
    <w:rsid w:val="38A53DB7"/>
    <w:rsid w:val="38BF3388"/>
    <w:rsid w:val="38CC268D"/>
    <w:rsid w:val="38DF1FDA"/>
    <w:rsid w:val="38EC2960"/>
    <w:rsid w:val="390069DD"/>
    <w:rsid w:val="39030CF9"/>
    <w:rsid w:val="39091F35"/>
    <w:rsid w:val="392536E2"/>
    <w:rsid w:val="392720CB"/>
    <w:rsid w:val="393F42CA"/>
    <w:rsid w:val="39465F15"/>
    <w:rsid w:val="39505209"/>
    <w:rsid w:val="395E20D3"/>
    <w:rsid w:val="396453C5"/>
    <w:rsid w:val="39922CCF"/>
    <w:rsid w:val="39A24859"/>
    <w:rsid w:val="39A65327"/>
    <w:rsid w:val="39A65C9B"/>
    <w:rsid w:val="39BC5ED6"/>
    <w:rsid w:val="39D27231"/>
    <w:rsid w:val="39E82BB3"/>
    <w:rsid w:val="39EB39E0"/>
    <w:rsid w:val="39EF02D4"/>
    <w:rsid w:val="3A11342A"/>
    <w:rsid w:val="3A153110"/>
    <w:rsid w:val="3A2149EA"/>
    <w:rsid w:val="3A2507C0"/>
    <w:rsid w:val="3A285AD8"/>
    <w:rsid w:val="3A393FA7"/>
    <w:rsid w:val="3A3A5A22"/>
    <w:rsid w:val="3A524858"/>
    <w:rsid w:val="3A64203E"/>
    <w:rsid w:val="3A663D00"/>
    <w:rsid w:val="3A7428D0"/>
    <w:rsid w:val="3A747EDD"/>
    <w:rsid w:val="3A923AE4"/>
    <w:rsid w:val="3AA50E25"/>
    <w:rsid w:val="3AC566E3"/>
    <w:rsid w:val="3ACC4283"/>
    <w:rsid w:val="3AD6747A"/>
    <w:rsid w:val="3AD95C48"/>
    <w:rsid w:val="3ADF5D0A"/>
    <w:rsid w:val="3B312338"/>
    <w:rsid w:val="3B3C5B77"/>
    <w:rsid w:val="3B3D0FF2"/>
    <w:rsid w:val="3B501351"/>
    <w:rsid w:val="3B521A18"/>
    <w:rsid w:val="3B8D2B96"/>
    <w:rsid w:val="3B923660"/>
    <w:rsid w:val="3BCA44BE"/>
    <w:rsid w:val="3C061F3A"/>
    <w:rsid w:val="3C0A04F9"/>
    <w:rsid w:val="3C495480"/>
    <w:rsid w:val="3C4C3A42"/>
    <w:rsid w:val="3C557EA4"/>
    <w:rsid w:val="3C616C4D"/>
    <w:rsid w:val="3C651486"/>
    <w:rsid w:val="3C6F0167"/>
    <w:rsid w:val="3C71667B"/>
    <w:rsid w:val="3C7C75E3"/>
    <w:rsid w:val="3C914F3B"/>
    <w:rsid w:val="3CC17F13"/>
    <w:rsid w:val="3CD15B81"/>
    <w:rsid w:val="3CD50B40"/>
    <w:rsid w:val="3CE320A3"/>
    <w:rsid w:val="3CE9196C"/>
    <w:rsid w:val="3CF15105"/>
    <w:rsid w:val="3D0C04B9"/>
    <w:rsid w:val="3D1414C5"/>
    <w:rsid w:val="3D1C763E"/>
    <w:rsid w:val="3D201AA5"/>
    <w:rsid w:val="3D2B37EA"/>
    <w:rsid w:val="3D2F7FF3"/>
    <w:rsid w:val="3D3B56F0"/>
    <w:rsid w:val="3D3D1507"/>
    <w:rsid w:val="3D62085B"/>
    <w:rsid w:val="3D6B12FD"/>
    <w:rsid w:val="3D7B4622"/>
    <w:rsid w:val="3D8E5820"/>
    <w:rsid w:val="3D942E29"/>
    <w:rsid w:val="3DA53531"/>
    <w:rsid w:val="3DB54E0C"/>
    <w:rsid w:val="3DB900C1"/>
    <w:rsid w:val="3DE51866"/>
    <w:rsid w:val="3DE91725"/>
    <w:rsid w:val="3DF159B1"/>
    <w:rsid w:val="3E135D25"/>
    <w:rsid w:val="3E1A106E"/>
    <w:rsid w:val="3E36303B"/>
    <w:rsid w:val="3E526044"/>
    <w:rsid w:val="3E5C591E"/>
    <w:rsid w:val="3E6C2B3A"/>
    <w:rsid w:val="3E8C5311"/>
    <w:rsid w:val="3E8E7E55"/>
    <w:rsid w:val="3EB61473"/>
    <w:rsid w:val="3EC66011"/>
    <w:rsid w:val="3ED25BE0"/>
    <w:rsid w:val="3ED75B7F"/>
    <w:rsid w:val="3EF9316D"/>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765D15"/>
    <w:rsid w:val="407B4FC1"/>
    <w:rsid w:val="407F2DE9"/>
    <w:rsid w:val="40866C82"/>
    <w:rsid w:val="40920B61"/>
    <w:rsid w:val="40953369"/>
    <w:rsid w:val="40991379"/>
    <w:rsid w:val="409B3C3D"/>
    <w:rsid w:val="409F1D81"/>
    <w:rsid w:val="40F701DF"/>
    <w:rsid w:val="40FD480A"/>
    <w:rsid w:val="411B59C4"/>
    <w:rsid w:val="412A32F8"/>
    <w:rsid w:val="417E416A"/>
    <w:rsid w:val="417F433E"/>
    <w:rsid w:val="418A1D66"/>
    <w:rsid w:val="419C4043"/>
    <w:rsid w:val="41B7239D"/>
    <w:rsid w:val="41C95079"/>
    <w:rsid w:val="41D852BC"/>
    <w:rsid w:val="41FF3845"/>
    <w:rsid w:val="420E33D3"/>
    <w:rsid w:val="42101488"/>
    <w:rsid w:val="421104A9"/>
    <w:rsid w:val="42143B88"/>
    <w:rsid w:val="42164586"/>
    <w:rsid w:val="422E75D1"/>
    <w:rsid w:val="424C7A58"/>
    <w:rsid w:val="424E1A22"/>
    <w:rsid w:val="425B5DD1"/>
    <w:rsid w:val="4260300C"/>
    <w:rsid w:val="42755200"/>
    <w:rsid w:val="42772802"/>
    <w:rsid w:val="427C799E"/>
    <w:rsid w:val="427F607F"/>
    <w:rsid w:val="42800B9B"/>
    <w:rsid w:val="4281223D"/>
    <w:rsid w:val="428E62C2"/>
    <w:rsid w:val="42A06B6C"/>
    <w:rsid w:val="42A27996"/>
    <w:rsid w:val="42A45E72"/>
    <w:rsid w:val="42AA04E2"/>
    <w:rsid w:val="42EA5650"/>
    <w:rsid w:val="431408DA"/>
    <w:rsid w:val="431B7C78"/>
    <w:rsid w:val="4331401E"/>
    <w:rsid w:val="43486FC5"/>
    <w:rsid w:val="43591DDA"/>
    <w:rsid w:val="435A0DF2"/>
    <w:rsid w:val="436C42E1"/>
    <w:rsid w:val="437102E7"/>
    <w:rsid w:val="437C210F"/>
    <w:rsid w:val="43847F02"/>
    <w:rsid w:val="438F113C"/>
    <w:rsid w:val="439E7EFB"/>
    <w:rsid w:val="43A55671"/>
    <w:rsid w:val="43B1568A"/>
    <w:rsid w:val="43B64E08"/>
    <w:rsid w:val="43BD7F58"/>
    <w:rsid w:val="43D43ECA"/>
    <w:rsid w:val="43DD452F"/>
    <w:rsid w:val="43DE6CD4"/>
    <w:rsid w:val="43E443EC"/>
    <w:rsid w:val="43E51150"/>
    <w:rsid w:val="43EF28BB"/>
    <w:rsid w:val="43EF56D3"/>
    <w:rsid w:val="43F47D80"/>
    <w:rsid w:val="44095C00"/>
    <w:rsid w:val="440A6FD2"/>
    <w:rsid w:val="442A1797"/>
    <w:rsid w:val="44366C11"/>
    <w:rsid w:val="444946CA"/>
    <w:rsid w:val="444B3F54"/>
    <w:rsid w:val="4476661F"/>
    <w:rsid w:val="447E3AC5"/>
    <w:rsid w:val="44805ED4"/>
    <w:rsid w:val="448E5DEE"/>
    <w:rsid w:val="449E4142"/>
    <w:rsid w:val="44A90BAA"/>
    <w:rsid w:val="44B24A20"/>
    <w:rsid w:val="44BC0BEE"/>
    <w:rsid w:val="44BF6C07"/>
    <w:rsid w:val="44C24001"/>
    <w:rsid w:val="44C55A88"/>
    <w:rsid w:val="44FB1C9C"/>
    <w:rsid w:val="450425A8"/>
    <w:rsid w:val="45392A13"/>
    <w:rsid w:val="453E3FCF"/>
    <w:rsid w:val="454F1836"/>
    <w:rsid w:val="455A1BEC"/>
    <w:rsid w:val="45887B45"/>
    <w:rsid w:val="458B66DF"/>
    <w:rsid w:val="45940F0E"/>
    <w:rsid w:val="45AC5DBA"/>
    <w:rsid w:val="45C647AF"/>
    <w:rsid w:val="45DD529D"/>
    <w:rsid w:val="45E57886"/>
    <w:rsid w:val="45E945CC"/>
    <w:rsid w:val="46003033"/>
    <w:rsid w:val="46003076"/>
    <w:rsid w:val="46026F63"/>
    <w:rsid w:val="46113492"/>
    <w:rsid w:val="46177E29"/>
    <w:rsid w:val="46205B7F"/>
    <w:rsid w:val="462A6010"/>
    <w:rsid w:val="465D501C"/>
    <w:rsid w:val="466367DB"/>
    <w:rsid w:val="46686D18"/>
    <w:rsid w:val="466D15DA"/>
    <w:rsid w:val="46BF7E28"/>
    <w:rsid w:val="46C3037C"/>
    <w:rsid w:val="46EF26BD"/>
    <w:rsid w:val="46FF15E0"/>
    <w:rsid w:val="4700581C"/>
    <w:rsid w:val="4702516A"/>
    <w:rsid w:val="4703102D"/>
    <w:rsid w:val="4724600B"/>
    <w:rsid w:val="472E597E"/>
    <w:rsid w:val="474A4B33"/>
    <w:rsid w:val="47665A15"/>
    <w:rsid w:val="47677941"/>
    <w:rsid w:val="477F1660"/>
    <w:rsid w:val="4788232A"/>
    <w:rsid w:val="478B0398"/>
    <w:rsid w:val="478F5D0B"/>
    <w:rsid w:val="479D5A47"/>
    <w:rsid w:val="47A11E6C"/>
    <w:rsid w:val="47A31F5F"/>
    <w:rsid w:val="47A84BA6"/>
    <w:rsid w:val="47B2035D"/>
    <w:rsid w:val="47B52444"/>
    <w:rsid w:val="47B8724E"/>
    <w:rsid w:val="47ED7BCA"/>
    <w:rsid w:val="48016F34"/>
    <w:rsid w:val="480556DB"/>
    <w:rsid w:val="48185C56"/>
    <w:rsid w:val="48254C34"/>
    <w:rsid w:val="48450F81"/>
    <w:rsid w:val="48455675"/>
    <w:rsid w:val="484E729D"/>
    <w:rsid w:val="48566773"/>
    <w:rsid w:val="485A23C2"/>
    <w:rsid w:val="48691107"/>
    <w:rsid w:val="48895289"/>
    <w:rsid w:val="48A16B62"/>
    <w:rsid w:val="48AE0D54"/>
    <w:rsid w:val="48BC6222"/>
    <w:rsid w:val="48C245E9"/>
    <w:rsid w:val="48DB312A"/>
    <w:rsid w:val="48DF49D9"/>
    <w:rsid w:val="492108CC"/>
    <w:rsid w:val="492A2DA5"/>
    <w:rsid w:val="49413F52"/>
    <w:rsid w:val="494F6304"/>
    <w:rsid w:val="496C0BC7"/>
    <w:rsid w:val="49792B95"/>
    <w:rsid w:val="49847EF9"/>
    <w:rsid w:val="49F11610"/>
    <w:rsid w:val="4A05334F"/>
    <w:rsid w:val="4A060864"/>
    <w:rsid w:val="4A244932"/>
    <w:rsid w:val="4A2922C8"/>
    <w:rsid w:val="4A4117B2"/>
    <w:rsid w:val="4A4A6F73"/>
    <w:rsid w:val="4A7A4350"/>
    <w:rsid w:val="4A7B1703"/>
    <w:rsid w:val="4A7E2497"/>
    <w:rsid w:val="4A896826"/>
    <w:rsid w:val="4ABF5E17"/>
    <w:rsid w:val="4ACB00B3"/>
    <w:rsid w:val="4ACF7478"/>
    <w:rsid w:val="4AD52CE0"/>
    <w:rsid w:val="4AE01A66"/>
    <w:rsid w:val="4AE104D6"/>
    <w:rsid w:val="4AE724D1"/>
    <w:rsid w:val="4AE77140"/>
    <w:rsid w:val="4AEA4061"/>
    <w:rsid w:val="4AEB3612"/>
    <w:rsid w:val="4AED707B"/>
    <w:rsid w:val="4AFA2F07"/>
    <w:rsid w:val="4B015D61"/>
    <w:rsid w:val="4B0B7979"/>
    <w:rsid w:val="4B1530DD"/>
    <w:rsid w:val="4B421ECE"/>
    <w:rsid w:val="4B46598C"/>
    <w:rsid w:val="4B520DF4"/>
    <w:rsid w:val="4B603107"/>
    <w:rsid w:val="4B7A5635"/>
    <w:rsid w:val="4B8E10E1"/>
    <w:rsid w:val="4B9802B0"/>
    <w:rsid w:val="4B9E65BE"/>
    <w:rsid w:val="4B9F33A8"/>
    <w:rsid w:val="4BA80AFD"/>
    <w:rsid w:val="4BB033BA"/>
    <w:rsid w:val="4BB469AD"/>
    <w:rsid w:val="4BC06040"/>
    <w:rsid w:val="4BC66ACD"/>
    <w:rsid w:val="4BCF5981"/>
    <w:rsid w:val="4BD846DB"/>
    <w:rsid w:val="4BF43ADF"/>
    <w:rsid w:val="4BF441D2"/>
    <w:rsid w:val="4C1C2A09"/>
    <w:rsid w:val="4C284AD9"/>
    <w:rsid w:val="4C423098"/>
    <w:rsid w:val="4C694192"/>
    <w:rsid w:val="4C771B75"/>
    <w:rsid w:val="4C7964D9"/>
    <w:rsid w:val="4C8C5620"/>
    <w:rsid w:val="4C9269F6"/>
    <w:rsid w:val="4CB75F07"/>
    <w:rsid w:val="4CC84335"/>
    <w:rsid w:val="4CDA3E72"/>
    <w:rsid w:val="4CE4545C"/>
    <w:rsid w:val="4CE9350A"/>
    <w:rsid w:val="4CF51418"/>
    <w:rsid w:val="4D014937"/>
    <w:rsid w:val="4D1E2466"/>
    <w:rsid w:val="4D225F85"/>
    <w:rsid w:val="4D297BF3"/>
    <w:rsid w:val="4D2D0EAF"/>
    <w:rsid w:val="4D6B7D84"/>
    <w:rsid w:val="4D795A49"/>
    <w:rsid w:val="4D7F0082"/>
    <w:rsid w:val="4D952FD9"/>
    <w:rsid w:val="4D970662"/>
    <w:rsid w:val="4D9A1FBF"/>
    <w:rsid w:val="4D9F40B3"/>
    <w:rsid w:val="4DB33393"/>
    <w:rsid w:val="4DBC3CE3"/>
    <w:rsid w:val="4DCB51C5"/>
    <w:rsid w:val="4DCF1E0D"/>
    <w:rsid w:val="4DD632D9"/>
    <w:rsid w:val="4DE05D9E"/>
    <w:rsid w:val="4DE05DF9"/>
    <w:rsid w:val="4DE44800"/>
    <w:rsid w:val="4DEE0709"/>
    <w:rsid w:val="4DF26A56"/>
    <w:rsid w:val="4DF47921"/>
    <w:rsid w:val="4DFC14EA"/>
    <w:rsid w:val="4DFF6815"/>
    <w:rsid w:val="4E0A3427"/>
    <w:rsid w:val="4E192EE4"/>
    <w:rsid w:val="4E2423AC"/>
    <w:rsid w:val="4E261AA5"/>
    <w:rsid w:val="4E287F63"/>
    <w:rsid w:val="4E304B5D"/>
    <w:rsid w:val="4E3F66C2"/>
    <w:rsid w:val="4E4B32B9"/>
    <w:rsid w:val="4E611B8B"/>
    <w:rsid w:val="4E6279D7"/>
    <w:rsid w:val="4E682F8C"/>
    <w:rsid w:val="4E6A7BB7"/>
    <w:rsid w:val="4E6C5D89"/>
    <w:rsid w:val="4E9133C2"/>
    <w:rsid w:val="4EB23220"/>
    <w:rsid w:val="4EE661F8"/>
    <w:rsid w:val="4EF27A04"/>
    <w:rsid w:val="4F05790C"/>
    <w:rsid w:val="4F0773B4"/>
    <w:rsid w:val="4F241019"/>
    <w:rsid w:val="4F307BB1"/>
    <w:rsid w:val="4F336227"/>
    <w:rsid w:val="4F3C3EF2"/>
    <w:rsid w:val="4F3D562D"/>
    <w:rsid w:val="4F5C4EE0"/>
    <w:rsid w:val="4F681AF1"/>
    <w:rsid w:val="4F6E1972"/>
    <w:rsid w:val="4F8C7A5C"/>
    <w:rsid w:val="4F943166"/>
    <w:rsid w:val="4F9C19A5"/>
    <w:rsid w:val="4FBA02A1"/>
    <w:rsid w:val="4FE7106E"/>
    <w:rsid w:val="4FF82FCD"/>
    <w:rsid w:val="50053943"/>
    <w:rsid w:val="502344EE"/>
    <w:rsid w:val="50260569"/>
    <w:rsid w:val="50374A3C"/>
    <w:rsid w:val="50487AB0"/>
    <w:rsid w:val="50550E55"/>
    <w:rsid w:val="50901457"/>
    <w:rsid w:val="509F43E4"/>
    <w:rsid w:val="50A54D3E"/>
    <w:rsid w:val="50B82E88"/>
    <w:rsid w:val="50BB32A7"/>
    <w:rsid w:val="50CC5CB2"/>
    <w:rsid w:val="50EC2B32"/>
    <w:rsid w:val="50F1402B"/>
    <w:rsid w:val="50FD2AD9"/>
    <w:rsid w:val="51081E85"/>
    <w:rsid w:val="51097D9A"/>
    <w:rsid w:val="51237D2E"/>
    <w:rsid w:val="515B06D0"/>
    <w:rsid w:val="51764AF1"/>
    <w:rsid w:val="51996737"/>
    <w:rsid w:val="51B408B8"/>
    <w:rsid w:val="51B80848"/>
    <w:rsid w:val="51CC0868"/>
    <w:rsid w:val="51D5340F"/>
    <w:rsid w:val="52287B99"/>
    <w:rsid w:val="52382F2A"/>
    <w:rsid w:val="52386E3D"/>
    <w:rsid w:val="523A7DD1"/>
    <w:rsid w:val="523B7711"/>
    <w:rsid w:val="5271774C"/>
    <w:rsid w:val="527A416D"/>
    <w:rsid w:val="528D7B65"/>
    <w:rsid w:val="52AA11D3"/>
    <w:rsid w:val="52DE008D"/>
    <w:rsid w:val="52EE341E"/>
    <w:rsid w:val="52F37FE6"/>
    <w:rsid w:val="52FC1CAF"/>
    <w:rsid w:val="52FE08FA"/>
    <w:rsid w:val="52FF22FE"/>
    <w:rsid w:val="53004672"/>
    <w:rsid w:val="530B071F"/>
    <w:rsid w:val="531A330F"/>
    <w:rsid w:val="532B6CAF"/>
    <w:rsid w:val="53350D91"/>
    <w:rsid w:val="53412644"/>
    <w:rsid w:val="53433903"/>
    <w:rsid w:val="53517A72"/>
    <w:rsid w:val="5361549D"/>
    <w:rsid w:val="536220DA"/>
    <w:rsid w:val="53650637"/>
    <w:rsid w:val="536A5F90"/>
    <w:rsid w:val="537155BE"/>
    <w:rsid w:val="53757C6B"/>
    <w:rsid w:val="537E1075"/>
    <w:rsid w:val="539A4AC7"/>
    <w:rsid w:val="53A44D07"/>
    <w:rsid w:val="53A46AC8"/>
    <w:rsid w:val="53AB7F1F"/>
    <w:rsid w:val="53AC6F7B"/>
    <w:rsid w:val="53C01F4F"/>
    <w:rsid w:val="53E2646E"/>
    <w:rsid w:val="53EB297B"/>
    <w:rsid w:val="53EC4BF7"/>
    <w:rsid w:val="53F758A1"/>
    <w:rsid w:val="540D5A7F"/>
    <w:rsid w:val="542E2BC2"/>
    <w:rsid w:val="54352A96"/>
    <w:rsid w:val="54447390"/>
    <w:rsid w:val="544B514D"/>
    <w:rsid w:val="545E1D01"/>
    <w:rsid w:val="54674051"/>
    <w:rsid w:val="54935B8F"/>
    <w:rsid w:val="549D3677"/>
    <w:rsid w:val="54B03E76"/>
    <w:rsid w:val="54BB334B"/>
    <w:rsid w:val="54BF230B"/>
    <w:rsid w:val="54CC6227"/>
    <w:rsid w:val="54D10F9B"/>
    <w:rsid w:val="54D97871"/>
    <w:rsid w:val="550B5550"/>
    <w:rsid w:val="551D586C"/>
    <w:rsid w:val="55200298"/>
    <w:rsid w:val="55335E1B"/>
    <w:rsid w:val="5536079B"/>
    <w:rsid w:val="554B7EF0"/>
    <w:rsid w:val="556F3D99"/>
    <w:rsid w:val="55720837"/>
    <w:rsid w:val="55860894"/>
    <w:rsid w:val="558F6181"/>
    <w:rsid w:val="55945546"/>
    <w:rsid w:val="55B02DF1"/>
    <w:rsid w:val="55D47A00"/>
    <w:rsid w:val="55D5456D"/>
    <w:rsid w:val="55DC290C"/>
    <w:rsid w:val="55E71B19"/>
    <w:rsid w:val="55EA5D64"/>
    <w:rsid w:val="55F01FA1"/>
    <w:rsid w:val="55FC19B9"/>
    <w:rsid w:val="56130B60"/>
    <w:rsid w:val="56234F28"/>
    <w:rsid w:val="56717635"/>
    <w:rsid w:val="56990B7C"/>
    <w:rsid w:val="569E1126"/>
    <w:rsid w:val="56A8690E"/>
    <w:rsid w:val="56B679AB"/>
    <w:rsid w:val="56B80DEB"/>
    <w:rsid w:val="56E0560F"/>
    <w:rsid w:val="56E06E61"/>
    <w:rsid w:val="56EF3C74"/>
    <w:rsid w:val="56F653FE"/>
    <w:rsid w:val="57007337"/>
    <w:rsid w:val="574448FC"/>
    <w:rsid w:val="57561D39"/>
    <w:rsid w:val="575B7AFD"/>
    <w:rsid w:val="57660D3F"/>
    <w:rsid w:val="5785783C"/>
    <w:rsid w:val="578F06BB"/>
    <w:rsid w:val="57CC4BC2"/>
    <w:rsid w:val="57D10760"/>
    <w:rsid w:val="57D1153D"/>
    <w:rsid w:val="57D77297"/>
    <w:rsid w:val="57FA3774"/>
    <w:rsid w:val="58084A3C"/>
    <w:rsid w:val="58247055"/>
    <w:rsid w:val="582772A7"/>
    <w:rsid w:val="5847689F"/>
    <w:rsid w:val="58531B77"/>
    <w:rsid w:val="585D2975"/>
    <w:rsid w:val="585E3492"/>
    <w:rsid w:val="585F64F9"/>
    <w:rsid w:val="587E3341"/>
    <w:rsid w:val="587F428B"/>
    <w:rsid w:val="58843A9C"/>
    <w:rsid w:val="58860C9B"/>
    <w:rsid w:val="58873140"/>
    <w:rsid w:val="58B31855"/>
    <w:rsid w:val="58CF56D8"/>
    <w:rsid w:val="58D31010"/>
    <w:rsid w:val="58D6741E"/>
    <w:rsid w:val="58DB0535"/>
    <w:rsid w:val="58E467E4"/>
    <w:rsid w:val="58E62E0E"/>
    <w:rsid w:val="58EA3D0E"/>
    <w:rsid w:val="58F24A5D"/>
    <w:rsid w:val="58F71269"/>
    <w:rsid w:val="58FE045E"/>
    <w:rsid w:val="58FE78A6"/>
    <w:rsid w:val="59014CEF"/>
    <w:rsid w:val="59561946"/>
    <w:rsid w:val="59670F51"/>
    <w:rsid w:val="596A44F9"/>
    <w:rsid w:val="596C19BB"/>
    <w:rsid w:val="59741916"/>
    <w:rsid w:val="59790BDB"/>
    <w:rsid w:val="597E3F42"/>
    <w:rsid w:val="598653AC"/>
    <w:rsid w:val="59AC3C86"/>
    <w:rsid w:val="59B817D3"/>
    <w:rsid w:val="59C11856"/>
    <w:rsid w:val="59C153AB"/>
    <w:rsid w:val="59D42FDA"/>
    <w:rsid w:val="59DA4E01"/>
    <w:rsid w:val="59F64E82"/>
    <w:rsid w:val="5A0A5DD6"/>
    <w:rsid w:val="5A10435C"/>
    <w:rsid w:val="5A2654CC"/>
    <w:rsid w:val="5A323A44"/>
    <w:rsid w:val="5A395E66"/>
    <w:rsid w:val="5A476FBE"/>
    <w:rsid w:val="5A484352"/>
    <w:rsid w:val="5A5321A5"/>
    <w:rsid w:val="5A783688"/>
    <w:rsid w:val="5A84349A"/>
    <w:rsid w:val="5A8734AF"/>
    <w:rsid w:val="5A9D3E45"/>
    <w:rsid w:val="5AA4101D"/>
    <w:rsid w:val="5AB17576"/>
    <w:rsid w:val="5ABA59C8"/>
    <w:rsid w:val="5ABD68E6"/>
    <w:rsid w:val="5ABF73D2"/>
    <w:rsid w:val="5ACB3D8A"/>
    <w:rsid w:val="5ACE32A8"/>
    <w:rsid w:val="5AE12FDB"/>
    <w:rsid w:val="5AE1508F"/>
    <w:rsid w:val="5AF80256"/>
    <w:rsid w:val="5B110CC9"/>
    <w:rsid w:val="5B136165"/>
    <w:rsid w:val="5B1851F5"/>
    <w:rsid w:val="5B1F7B5D"/>
    <w:rsid w:val="5B585171"/>
    <w:rsid w:val="5B585B78"/>
    <w:rsid w:val="5B6D62B9"/>
    <w:rsid w:val="5B746CFA"/>
    <w:rsid w:val="5B9A2B59"/>
    <w:rsid w:val="5BA652E6"/>
    <w:rsid w:val="5BB57FC4"/>
    <w:rsid w:val="5BC0085A"/>
    <w:rsid w:val="5BE03293"/>
    <w:rsid w:val="5BF03D58"/>
    <w:rsid w:val="5BF20AFB"/>
    <w:rsid w:val="5C1A6BB2"/>
    <w:rsid w:val="5C306D31"/>
    <w:rsid w:val="5C37233A"/>
    <w:rsid w:val="5C5355FE"/>
    <w:rsid w:val="5C5A49A5"/>
    <w:rsid w:val="5C6519EA"/>
    <w:rsid w:val="5C6715FE"/>
    <w:rsid w:val="5C6F4105"/>
    <w:rsid w:val="5CBB7F6F"/>
    <w:rsid w:val="5CC248CE"/>
    <w:rsid w:val="5D042FB1"/>
    <w:rsid w:val="5D442CB4"/>
    <w:rsid w:val="5D7C3F11"/>
    <w:rsid w:val="5D971C5A"/>
    <w:rsid w:val="5D9D49E0"/>
    <w:rsid w:val="5DA01E9E"/>
    <w:rsid w:val="5DAD3649"/>
    <w:rsid w:val="5DC310BE"/>
    <w:rsid w:val="5DD62B9F"/>
    <w:rsid w:val="5DDF1821"/>
    <w:rsid w:val="5DE2656A"/>
    <w:rsid w:val="5DEA2F91"/>
    <w:rsid w:val="5DF7401A"/>
    <w:rsid w:val="5DF94AE0"/>
    <w:rsid w:val="5DFA5883"/>
    <w:rsid w:val="5E224037"/>
    <w:rsid w:val="5E3146A3"/>
    <w:rsid w:val="5E442F62"/>
    <w:rsid w:val="5E6C2C5B"/>
    <w:rsid w:val="5E6E2DD8"/>
    <w:rsid w:val="5E7251A2"/>
    <w:rsid w:val="5E7C3591"/>
    <w:rsid w:val="5E9D0E18"/>
    <w:rsid w:val="5EA26F25"/>
    <w:rsid w:val="5EA341D7"/>
    <w:rsid w:val="5EA755DE"/>
    <w:rsid w:val="5EAE7678"/>
    <w:rsid w:val="5EB05C25"/>
    <w:rsid w:val="5ED35F0E"/>
    <w:rsid w:val="5EDF7832"/>
    <w:rsid w:val="5EFC1390"/>
    <w:rsid w:val="5EFC3EB6"/>
    <w:rsid w:val="5F03335D"/>
    <w:rsid w:val="5F0368C7"/>
    <w:rsid w:val="5F1544E7"/>
    <w:rsid w:val="5F197EE8"/>
    <w:rsid w:val="5F2B7EA7"/>
    <w:rsid w:val="5F312D8D"/>
    <w:rsid w:val="5F3C4923"/>
    <w:rsid w:val="5F4160B0"/>
    <w:rsid w:val="5F5A7800"/>
    <w:rsid w:val="5F6368E9"/>
    <w:rsid w:val="5F7811D3"/>
    <w:rsid w:val="5F9A65E6"/>
    <w:rsid w:val="5F9B2627"/>
    <w:rsid w:val="5FA66B60"/>
    <w:rsid w:val="5FAC7B1F"/>
    <w:rsid w:val="5FB5266F"/>
    <w:rsid w:val="5FB80E3D"/>
    <w:rsid w:val="5FB831B4"/>
    <w:rsid w:val="5FBC1730"/>
    <w:rsid w:val="5FD40999"/>
    <w:rsid w:val="5FE5522B"/>
    <w:rsid w:val="5FF03F08"/>
    <w:rsid w:val="5FF2548E"/>
    <w:rsid w:val="5FF313D3"/>
    <w:rsid w:val="5FFA548F"/>
    <w:rsid w:val="602610FD"/>
    <w:rsid w:val="602808B2"/>
    <w:rsid w:val="602C2F4B"/>
    <w:rsid w:val="602D0A71"/>
    <w:rsid w:val="60307A2A"/>
    <w:rsid w:val="603814FF"/>
    <w:rsid w:val="604109A8"/>
    <w:rsid w:val="605D2617"/>
    <w:rsid w:val="60616CDC"/>
    <w:rsid w:val="60624E53"/>
    <w:rsid w:val="606319E5"/>
    <w:rsid w:val="607A77D8"/>
    <w:rsid w:val="607B3C50"/>
    <w:rsid w:val="608B6567"/>
    <w:rsid w:val="60902A4E"/>
    <w:rsid w:val="60A76A75"/>
    <w:rsid w:val="60AA3E6F"/>
    <w:rsid w:val="60FF21D9"/>
    <w:rsid w:val="610C0686"/>
    <w:rsid w:val="611E37D0"/>
    <w:rsid w:val="613021B3"/>
    <w:rsid w:val="61306A6A"/>
    <w:rsid w:val="613253FD"/>
    <w:rsid w:val="61421F29"/>
    <w:rsid w:val="61450DD2"/>
    <w:rsid w:val="61637D56"/>
    <w:rsid w:val="61712185"/>
    <w:rsid w:val="618B7207"/>
    <w:rsid w:val="61907E69"/>
    <w:rsid w:val="619C7C5C"/>
    <w:rsid w:val="61A90D68"/>
    <w:rsid w:val="61B43A15"/>
    <w:rsid w:val="62065A1D"/>
    <w:rsid w:val="6213792C"/>
    <w:rsid w:val="621775E2"/>
    <w:rsid w:val="621C0D9D"/>
    <w:rsid w:val="622F7552"/>
    <w:rsid w:val="6250406E"/>
    <w:rsid w:val="6267666C"/>
    <w:rsid w:val="627D6831"/>
    <w:rsid w:val="62811B1C"/>
    <w:rsid w:val="62A20409"/>
    <w:rsid w:val="62B54B44"/>
    <w:rsid w:val="62E045DA"/>
    <w:rsid w:val="62E454A1"/>
    <w:rsid w:val="62E95123"/>
    <w:rsid w:val="62EF025F"/>
    <w:rsid w:val="62F36E4C"/>
    <w:rsid w:val="62F47F8F"/>
    <w:rsid w:val="62F7233F"/>
    <w:rsid w:val="630C7063"/>
    <w:rsid w:val="631F3FB4"/>
    <w:rsid w:val="63273E9D"/>
    <w:rsid w:val="63364F75"/>
    <w:rsid w:val="6340438B"/>
    <w:rsid w:val="6353238E"/>
    <w:rsid w:val="63612AB8"/>
    <w:rsid w:val="6379289B"/>
    <w:rsid w:val="637D0978"/>
    <w:rsid w:val="638906B4"/>
    <w:rsid w:val="638968B0"/>
    <w:rsid w:val="638A282C"/>
    <w:rsid w:val="6393508F"/>
    <w:rsid w:val="639A3568"/>
    <w:rsid w:val="63A75341"/>
    <w:rsid w:val="63A85E90"/>
    <w:rsid w:val="63A962DB"/>
    <w:rsid w:val="63AB1A91"/>
    <w:rsid w:val="63B75221"/>
    <w:rsid w:val="63B82D47"/>
    <w:rsid w:val="63C74D38"/>
    <w:rsid w:val="63EA73A4"/>
    <w:rsid w:val="63EE4692"/>
    <w:rsid w:val="63FD622D"/>
    <w:rsid w:val="64177A6E"/>
    <w:rsid w:val="643F32F9"/>
    <w:rsid w:val="64582686"/>
    <w:rsid w:val="64673C87"/>
    <w:rsid w:val="64877733"/>
    <w:rsid w:val="64925346"/>
    <w:rsid w:val="64A170D2"/>
    <w:rsid w:val="64A251DD"/>
    <w:rsid w:val="64BC182A"/>
    <w:rsid w:val="64EC1340"/>
    <w:rsid w:val="650242F0"/>
    <w:rsid w:val="65365B2B"/>
    <w:rsid w:val="653F447E"/>
    <w:rsid w:val="65542778"/>
    <w:rsid w:val="655829AF"/>
    <w:rsid w:val="656B70C3"/>
    <w:rsid w:val="658F4798"/>
    <w:rsid w:val="659B1EBA"/>
    <w:rsid w:val="65A11CE5"/>
    <w:rsid w:val="65A83379"/>
    <w:rsid w:val="65B461E9"/>
    <w:rsid w:val="65BE39A8"/>
    <w:rsid w:val="65FB3FBE"/>
    <w:rsid w:val="66101A71"/>
    <w:rsid w:val="66171FA7"/>
    <w:rsid w:val="66247D11"/>
    <w:rsid w:val="663B3EC9"/>
    <w:rsid w:val="664C0D85"/>
    <w:rsid w:val="665A1E94"/>
    <w:rsid w:val="66736112"/>
    <w:rsid w:val="667F5B5B"/>
    <w:rsid w:val="6694262A"/>
    <w:rsid w:val="66990381"/>
    <w:rsid w:val="66B31B01"/>
    <w:rsid w:val="66CE1E80"/>
    <w:rsid w:val="66E362F9"/>
    <w:rsid w:val="66E47FD9"/>
    <w:rsid w:val="66E520A5"/>
    <w:rsid w:val="66F04175"/>
    <w:rsid w:val="66F127F8"/>
    <w:rsid w:val="67071922"/>
    <w:rsid w:val="673B73C0"/>
    <w:rsid w:val="674743C8"/>
    <w:rsid w:val="675608B6"/>
    <w:rsid w:val="67754402"/>
    <w:rsid w:val="677D54ED"/>
    <w:rsid w:val="678B726C"/>
    <w:rsid w:val="67B25E27"/>
    <w:rsid w:val="67B4646D"/>
    <w:rsid w:val="67B464CA"/>
    <w:rsid w:val="67C4383B"/>
    <w:rsid w:val="67D35E1A"/>
    <w:rsid w:val="67D839B8"/>
    <w:rsid w:val="67F35317"/>
    <w:rsid w:val="67F73E3E"/>
    <w:rsid w:val="68016A6B"/>
    <w:rsid w:val="680201B7"/>
    <w:rsid w:val="68040309"/>
    <w:rsid w:val="68060525"/>
    <w:rsid w:val="680A18DB"/>
    <w:rsid w:val="68362BFB"/>
    <w:rsid w:val="683D085A"/>
    <w:rsid w:val="683F1130"/>
    <w:rsid w:val="684456A1"/>
    <w:rsid w:val="685E1363"/>
    <w:rsid w:val="687731D1"/>
    <w:rsid w:val="6878475E"/>
    <w:rsid w:val="688E1089"/>
    <w:rsid w:val="68993219"/>
    <w:rsid w:val="689E42BA"/>
    <w:rsid w:val="68A026F3"/>
    <w:rsid w:val="68AF6C13"/>
    <w:rsid w:val="68F25680"/>
    <w:rsid w:val="68FC334A"/>
    <w:rsid w:val="69074555"/>
    <w:rsid w:val="690E07C7"/>
    <w:rsid w:val="69140A20"/>
    <w:rsid w:val="69236A65"/>
    <w:rsid w:val="692E469B"/>
    <w:rsid w:val="69315C48"/>
    <w:rsid w:val="694019EC"/>
    <w:rsid w:val="694841AF"/>
    <w:rsid w:val="69584DB4"/>
    <w:rsid w:val="695B5B89"/>
    <w:rsid w:val="696C3D80"/>
    <w:rsid w:val="69715E72"/>
    <w:rsid w:val="698A5EE4"/>
    <w:rsid w:val="69A40E9D"/>
    <w:rsid w:val="69C811ED"/>
    <w:rsid w:val="69D33070"/>
    <w:rsid w:val="69E97E75"/>
    <w:rsid w:val="69FB5D9E"/>
    <w:rsid w:val="69FF6FDA"/>
    <w:rsid w:val="6A1A3007"/>
    <w:rsid w:val="6A1E645E"/>
    <w:rsid w:val="6A417049"/>
    <w:rsid w:val="6A576E16"/>
    <w:rsid w:val="6A7903E5"/>
    <w:rsid w:val="6A8219B9"/>
    <w:rsid w:val="6A8641F2"/>
    <w:rsid w:val="6A876FCF"/>
    <w:rsid w:val="6A9701A5"/>
    <w:rsid w:val="6AA03032"/>
    <w:rsid w:val="6AA86FEC"/>
    <w:rsid w:val="6ACB20F7"/>
    <w:rsid w:val="6ADA6AC4"/>
    <w:rsid w:val="6ADB11D6"/>
    <w:rsid w:val="6B1A2C3C"/>
    <w:rsid w:val="6B221F4E"/>
    <w:rsid w:val="6B31644D"/>
    <w:rsid w:val="6B486C86"/>
    <w:rsid w:val="6B554C72"/>
    <w:rsid w:val="6B774DF2"/>
    <w:rsid w:val="6B847AD7"/>
    <w:rsid w:val="6B961F07"/>
    <w:rsid w:val="6B9A2DF9"/>
    <w:rsid w:val="6BA56BC7"/>
    <w:rsid w:val="6BAA566B"/>
    <w:rsid w:val="6BAC4619"/>
    <w:rsid w:val="6BB118FD"/>
    <w:rsid w:val="6BC60150"/>
    <w:rsid w:val="6BCD2823"/>
    <w:rsid w:val="6BDD15DD"/>
    <w:rsid w:val="6BDF2966"/>
    <w:rsid w:val="6BE86A5F"/>
    <w:rsid w:val="6C053C7D"/>
    <w:rsid w:val="6C0D357A"/>
    <w:rsid w:val="6C2076DB"/>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D930DF"/>
    <w:rsid w:val="6CDC1854"/>
    <w:rsid w:val="6CE70FA1"/>
    <w:rsid w:val="6CED3A62"/>
    <w:rsid w:val="6CF05300"/>
    <w:rsid w:val="6CFA6351"/>
    <w:rsid w:val="6CFC3C40"/>
    <w:rsid w:val="6D054434"/>
    <w:rsid w:val="6D2F6F7D"/>
    <w:rsid w:val="6D480984"/>
    <w:rsid w:val="6D7E20DC"/>
    <w:rsid w:val="6D804F3A"/>
    <w:rsid w:val="6D8079F9"/>
    <w:rsid w:val="6DB13E57"/>
    <w:rsid w:val="6DC245A2"/>
    <w:rsid w:val="6DC71662"/>
    <w:rsid w:val="6DCD5126"/>
    <w:rsid w:val="6DDB6CB0"/>
    <w:rsid w:val="6DE21877"/>
    <w:rsid w:val="6DE52ACD"/>
    <w:rsid w:val="6DF36E56"/>
    <w:rsid w:val="6DFC0B44"/>
    <w:rsid w:val="6E0458E7"/>
    <w:rsid w:val="6E212037"/>
    <w:rsid w:val="6E263D90"/>
    <w:rsid w:val="6E3B221B"/>
    <w:rsid w:val="6E475779"/>
    <w:rsid w:val="6E51424D"/>
    <w:rsid w:val="6E663C68"/>
    <w:rsid w:val="6E7764EF"/>
    <w:rsid w:val="6EAD447C"/>
    <w:rsid w:val="6EAE5472"/>
    <w:rsid w:val="6EB828CE"/>
    <w:rsid w:val="6EBC069A"/>
    <w:rsid w:val="6ECD7F59"/>
    <w:rsid w:val="6ECF449B"/>
    <w:rsid w:val="6ED975CA"/>
    <w:rsid w:val="6EED7C80"/>
    <w:rsid w:val="6EF773A4"/>
    <w:rsid w:val="6F0E7CBF"/>
    <w:rsid w:val="6F1E2E65"/>
    <w:rsid w:val="6F2F2D9E"/>
    <w:rsid w:val="6F3C65DA"/>
    <w:rsid w:val="6F4147D9"/>
    <w:rsid w:val="6F581F47"/>
    <w:rsid w:val="6F5B0D5A"/>
    <w:rsid w:val="6F5C35EA"/>
    <w:rsid w:val="6F601A54"/>
    <w:rsid w:val="6F6B6A15"/>
    <w:rsid w:val="6F947E4B"/>
    <w:rsid w:val="6FA30BDA"/>
    <w:rsid w:val="6FB21D4C"/>
    <w:rsid w:val="6FB80698"/>
    <w:rsid w:val="6FFD5E0F"/>
    <w:rsid w:val="701021F4"/>
    <w:rsid w:val="701C29A6"/>
    <w:rsid w:val="7024611F"/>
    <w:rsid w:val="7038498C"/>
    <w:rsid w:val="70637B96"/>
    <w:rsid w:val="70797317"/>
    <w:rsid w:val="707E201F"/>
    <w:rsid w:val="7099044B"/>
    <w:rsid w:val="709A06E1"/>
    <w:rsid w:val="709D518F"/>
    <w:rsid w:val="70B76860"/>
    <w:rsid w:val="70C759D3"/>
    <w:rsid w:val="70CD7E32"/>
    <w:rsid w:val="70CF2B23"/>
    <w:rsid w:val="70D70CB1"/>
    <w:rsid w:val="70FA674D"/>
    <w:rsid w:val="710952C1"/>
    <w:rsid w:val="713954C7"/>
    <w:rsid w:val="713F70AB"/>
    <w:rsid w:val="71452CD8"/>
    <w:rsid w:val="71583F2D"/>
    <w:rsid w:val="7158683A"/>
    <w:rsid w:val="715B2F52"/>
    <w:rsid w:val="7167680B"/>
    <w:rsid w:val="71764F23"/>
    <w:rsid w:val="71881188"/>
    <w:rsid w:val="71946576"/>
    <w:rsid w:val="71967E84"/>
    <w:rsid w:val="7197629F"/>
    <w:rsid w:val="71A61873"/>
    <w:rsid w:val="71AF4936"/>
    <w:rsid w:val="71B12351"/>
    <w:rsid w:val="71BB4E1E"/>
    <w:rsid w:val="71D07496"/>
    <w:rsid w:val="71D75D0F"/>
    <w:rsid w:val="71F437A4"/>
    <w:rsid w:val="721919B3"/>
    <w:rsid w:val="721A6098"/>
    <w:rsid w:val="721D18D3"/>
    <w:rsid w:val="72310D1A"/>
    <w:rsid w:val="725D6B54"/>
    <w:rsid w:val="72986FA0"/>
    <w:rsid w:val="72A17C99"/>
    <w:rsid w:val="72A5093A"/>
    <w:rsid w:val="72AD7197"/>
    <w:rsid w:val="72AF6F7E"/>
    <w:rsid w:val="72B868C0"/>
    <w:rsid w:val="72CD226C"/>
    <w:rsid w:val="72DD1E82"/>
    <w:rsid w:val="72FD0F71"/>
    <w:rsid w:val="73047407"/>
    <w:rsid w:val="73047904"/>
    <w:rsid w:val="731A4E85"/>
    <w:rsid w:val="73253EFA"/>
    <w:rsid w:val="73353A6C"/>
    <w:rsid w:val="734C1A6A"/>
    <w:rsid w:val="735663B7"/>
    <w:rsid w:val="735C5949"/>
    <w:rsid w:val="73671287"/>
    <w:rsid w:val="73737DA5"/>
    <w:rsid w:val="73740A39"/>
    <w:rsid w:val="73783823"/>
    <w:rsid w:val="73887B3E"/>
    <w:rsid w:val="73892412"/>
    <w:rsid w:val="73AF2114"/>
    <w:rsid w:val="73AF381F"/>
    <w:rsid w:val="73E96BCA"/>
    <w:rsid w:val="73EE4A6E"/>
    <w:rsid w:val="741048BC"/>
    <w:rsid w:val="742E78D4"/>
    <w:rsid w:val="74317498"/>
    <w:rsid w:val="74335A84"/>
    <w:rsid w:val="743A6A13"/>
    <w:rsid w:val="74676A28"/>
    <w:rsid w:val="747E40B6"/>
    <w:rsid w:val="74AA2238"/>
    <w:rsid w:val="74AC3224"/>
    <w:rsid w:val="74B21065"/>
    <w:rsid w:val="74BB2C83"/>
    <w:rsid w:val="74C33758"/>
    <w:rsid w:val="74CC6652"/>
    <w:rsid w:val="74D476FB"/>
    <w:rsid w:val="74D72451"/>
    <w:rsid w:val="74DE4E5F"/>
    <w:rsid w:val="74E20DD2"/>
    <w:rsid w:val="74EB54AB"/>
    <w:rsid w:val="74F0689A"/>
    <w:rsid w:val="74FF6D43"/>
    <w:rsid w:val="750201A2"/>
    <w:rsid w:val="750E70AC"/>
    <w:rsid w:val="75137DDD"/>
    <w:rsid w:val="751A76AF"/>
    <w:rsid w:val="75241FEA"/>
    <w:rsid w:val="75250574"/>
    <w:rsid w:val="752943E7"/>
    <w:rsid w:val="75306BE1"/>
    <w:rsid w:val="753649D0"/>
    <w:rsid w:val="754459E0"/>
    <w:rsid w:val="7550443E"/>
    <w:rsid w:val="755F0BCC"/>
    <w:rsid w:val="7561323F"/>
    <w:rsid w:val="756F17F9"/>
    <w:rsid w:val="757E5B9F"/>
    <w:rsid w:val="75825461"/>
    <w:rsid w:val="75907680"/>
    <w:rsid w:val="75916599"/>
    <w:rsid w:val="759926FC"/>
    <w:rsid w:val="75A24276"/>
    <w:rsid w:val="75AA231D"/>
    <w:rsid w:val="75AD6340"/>
    <w:rsid w:val="75DF5F11"/>
    <w:rsid w:val="75E8633A"/>
    <w:rsid w:val="76360227"/>
    <w:rsid w:val="76393874"/>
    <w:rsid w:val="763F09AA"/>
    <w:rsid w:val="764346F2"/>
    <w:rsid w:val="764F3FCC"/>
    <w:rsid w:val="7650339F"/>
    <w:rsid w:val="76603C9A"/>
    <w:rsid w:val="766B00E5"/>
    <w:rsid w:val="76832D41"/>
    <w:rsid w:val="768B2C28"/>
    <w:rsid w:val="76BB1CAB"/>
    <w:rsid w:val="76C04050"/>
    <w:rsid w:val="76C30C21"/>
    <w:rsid w:val="76D67314"/>
    <w:rsid w:val="76E00193"/>
    <w:rsid w:val="76E65049"/>
    <w:rsid w:val="76FA74A7"/>
    <w:rsid w:val="77076007"/>
    <w:rsid w:val="771A36A5"/>
    <w:rsid w:val="77413F7E"/>
    <w:rsid w:val="77464076"/>
    <w:rsid w:val="7758241F"/>
    <w:rsid w:val="777A7D22"/>
    <w:rsid w:val="777E28EC"/>
    <w:rsid w:val="77835654"/>
    <w:rsid w:val="7797109C"/>
    <w:rsid w:val="779A2A38"/>
    <w:rsid w:val="77B4450A"/>
    <w:rsid w:val="77B46E73"/>
    <w:rsid w:val="77E37A12"/>
    <w:rsid w:val="77F42148"/>
    <w:rsid w:val="77FE3468"/>
    <w:rsid w:val="78250553"/>
    <w:rsid w:val="783B17B1"/>
    <w:rsid w:val="784E2046"/>
    <w:rsid w:val="78546F0C"/>
    <w:rsid w:val="78600CF4"/>
    <w:rsid w:val="786778FE"/>
    <w:rsid w:val="78760DAF"/>
    <w:rsid w:val="78880AE2"/>
    <w:rsid w:val="789D588A"/>
    <w:rsid w:val="78B65E3A"/>
    <w:rsid w:val="78E0091E"/>
    <w:rsid w:val="78EE1C79"/>
    <w:rsid w:val="78F85605"/>
    <w:rsid w:val="78FA66FA"/>
    <w:rsid w:val="79345B6A"/>
    <w:rsid w:val="79424F6E"/>
    <w:rsid w:val="795F3706"/>
    <w:rsid w:val="797239CC"/>
    <w:rsid w:val="7973709D"/>
    <w:rsid w:val="797572B9"/>
    <w:rsid w:val="797F54AB"/>
    <w:rsid w:val="79831473"/>
    <w:rsid w:val="79983E9C"/>
    <w:rsid w:val="7999527A"/>
    <w:rsid w:val="79AF76C5"/>
    <w:rsid w:val="79C25EE1"/>
    <w:rsid w:val="79CE2967"/>
    <w:rsid w:val="79E30EE8"/>
    <w:rsid w:val="79E34934"/>
    <w:rsid w:val="79EA664C"/>
    <w:rsid w:val="79F9627A"/>
    <w:rsid w:val="79FF6948"/>
    <w:rsid w:val="7A044199"/>
    <w:rsid w:val="7A0657CF"/>
    <w:rsid w:val="7A2F3BBF"/>
    <w:rsid w:val="7A2F459A"/>
    <w:rsid w:val="7A322A39"/>
    <w:rsid w:val="7A517022"/>
    <w:rsid w:val="7A6F5001"/>
    <w:rsid w:val="7A7720A0"/>
    <w:rsid w:val="7A9635B3"/>
    <w:rsid w:val="7AA2343E"/>
    <w:rsid w:val="7AD60EB8"/>
    <w:rsid w:val="7ADA73A4"/>
    <w:rsid w:val="7AE66B99"/>
    <w:rsid w:val="7AF34646"/>
    <w:rsid w:val="7AFE508C"/>
    <w:rsid w:val="7B0A3BCA"/>
    <w:rsid w:val="7B1C0EF4"/>
    <w:rsid w:val="7B345AA9"/>
    <w:rsid w:val="7B4048C1"/>
    <w:rsid w:val="7B4C5DF7"/>
    <w:rsid w:val="7B58479C"/>
    <w:rsid w:val="7B6C46EB"/>
    <w:rsid w:val="7B73082F"/>
    <w:rsid w:val="7B7B492E"/>
    <w:rsid w:val="7B9A3D1D"/>
    <w:rsid w:val="7BB46FBD"/>
    <w:rsid w:val="7BC62E00"/>
    <w:rsid w:val="7BC73B55"/>
    <w:rsid w:val="7BE35E2A"/>
    <w:rsid w:val="7BF538C2"/>
    <w:rsid w:val="7BF66C24"/>
    <w:rsid w:val="7BFA1CC7"/>
    <w:rsid w:val="7BFB70B3"/>
    <w:rsid w:val="7C0251DA"/>
    <w:rsid w:val="7C0C0E4A"/>
    <w:rsid w:val="7C0E41D1"/>
    <w:rsid w:val="7C1052F2"/>
    <w:rsid w:val="7C21292C"/>
    <w:rsid w:val="7C2668D9"/>
    <w:rsid w:val="7C32497F"/>
    <w:rsid w:val="7C3C69AE"/>
    <w:rsid w:val="7C691974"/>
    <w:rsid w:val="7C8A6570"/>
    <w:rsid w:val="7C8B7390"/>
    <w:rsid w:val="7C9B0D0E"/>
    <w:rsid w:val="7CA42B03"/>
    <w:rsid w:val="7CC55E61"/>
    <w:rsid w:val="7CCC5441"/>
    <w:rsid w:val="7CD2318A"/>
    <w:rsid w:val="7CD2702A"/>
    <w:rsid w:val="7CD34C42"/>
    <w:rsid w:val="7CD46B29"/>
    <w:rsid w:val="7CDE3FF9"/>
    <w:rsid w:val="7CE26EBF"/>
    <w:rsid w:val="7CEE3130"/>
    <w:rsid w:val="7CFC08E8"/>
    <w:rsid w:val="7D1E1A15"/>
    <w:rsid w:val="7D1F6674"/>
    <w:rsid w:val="7D475E29"/>
    <w:rsid w:val="7D480B34"/>
    <w:rsid w:val="7D777A3E"/>
    <w:rsid w:val="7D9005BC"/>
    <w:rsid w:val="7D9F0AD0"/>
    <w:rsid w:val="7DB22BDF"/>
    <w:rsid w:val="7DD12BB7"/>
    <w:rsid w:val="7DF223A2"/>
    <w:rsid w:val="7DFF0955"/>
    <w:rsid w:val="7E0B750E"/>
    <w:rsid w:val="7E1939E8"/>
    <w:rsid w:val="7E2400E7"/>
    <w:rsid w:val="7E2822EA"/>
    <w:rsid w:val="7E2A20CE"/>
    <w:rsid w:val="7E355A7B"/>
    <w:rsid w:val="7E455322"/>
    <w:rsid w:val="7E682F48"/>
    <w:rsid w:val="7E6E3E85"/>
    <w:rsid w:val="7E991353"/>
    <w:rsid w:val="7E9C184B"/>
    <w:rsid w:val="7EA72948"/>
    <w:rsid w:val="7EB31EDB"/>
    <w:rsid w:val="7ED61132"/>
    <w:rsid w:val="7EE70CC0"/>
    <w:rsid w:val="7EEB48DB"/>
    <w:rsid w:val="7EF27444"/>
    <w:rsid w:val="7EFC18E2"/>
    <w:rsid w:val="7F185A04"/>
    <w:rsid w:val="7F265C58"/>
    <w:rsid w:val="7F3B240A"/>
    <w:rsid w:val="7F4C4618"/>
    <w:rsid w:val="7F4D13A6"/>
    <w:rsid w:val="7F582CF2"/>
    <w:rsid w:val="7F596D35"/>
    <w:rsid w:val="7F951B40"/>
    <w:rsid w:val="7FA501CC"/>
    <w:rsid w:val="7FA820A8"/>
    <w:rsid w:val="7FAF2DF8"/>
    <w:rsid w:val="7FB90D50"/>
    <w:rsid w:val="7FBE053E"/>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4"/>
    <w:autoRedefine/>
    <w:qFormat/>
    <w:uiPriority w:val="0"/>
    <w:pPr>
      <w:keepNext/>
      <w:keepLines/>
      <w:spacing w:before="340" w:after="330" w:line="576" w:lineRule="auto"/>
      <w:outlineLvl w:val="0"/>
    </w:pPr>
    <w:rPr>
      <w:b/>
      <w:bCs/>
      <w:kern w:val="44"/>
      <w:sz w:val="44"/>
      <w:szCs w:val="44"/>
    </w:rPr>
  </w:style>
  <w:style w:type="paragraph" w:styleId="5">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autoRedefine/>
    <w:qFormat/>
    <w:uiPriority w:val="0"/>
    <w:pPr>
      <w:keepNext/>
      <w:keepLines/>
      <w:spacing w:before="260" w:after="260" w:line="416" w:lineRule="auto"/>
      <w:outlineLvl w:val="2"/>
    </w:pPr>
    <w:rPr>
      <w:b/>
      <w:bCs/>
      <w:sz w:val="32"/>
      <w:szCs w:val="32"/>
    </w:rPr>
  </w:style>
  <w:style w:type="paragraph" w:styleId="7">
    <w:name w:val="heading 4"/>
    <w:basedOn w:val="1"/>
    <w:next w:val="1"/>
    <w:autoRedefine/>
    <w:qFormat/>
    <w:uiPriority w:val="0"/>
    <w:pPr>
      <w:keepNext/>
      <w:keepLines/>
      <w:spacing w:line="360" w:lineRule="auto"/>
      <w:outlineLvl w:val="3"/>
    </w:pPr>
    <w:rPr>
      <w:rFonts w:ascii="Arial" w:hAnsi="Arial"/>
      <w:b/>
      <w:bCs/>
      <w:szCs w:val="28"/>
    </w:rPr>
  </w:style>
  <w:style w:type="paragraph" w:styleId="8">
    <w:name w:val="heading 5"/>
    <w:basedOn w:val="1"/>
    <w:next w:val="1"/>
    <w:autoRedefine/>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next w:val="1"/>
    <w:autoRedefine/>
    <w:qFormat/>
    <w:uiPriority w:val="0"/>
    <w:pPr>
      <w:widowControl/>
      <w:spacing w:beforeAutospacing="1" w:afterAutospacing="1"/>
      <w:jc w:val="left"/>
    </w:pPr>
    <w:rPr>
      <w:rFonts w:ascii="宋体" w:hAnsi="宋体" w:cs="宋体"/>
      <w:kern w:val="0"/>
      <w:sz w:val="24"/>
    </w:rPr>
  </w:style>
  <w:style w:type="paragraph" w:styleId="4">
    <w:name w:val="Body Text"/>
    <w:basedOn w:val="1"/>
    <w:link w:val="76"/>
    <w:autoRedefine/>
    <w:qFormat/>
    <w:uiPriority w:val="0"/>
  </w:style>
  <w:style w:type="paragraph" w:styleId="9">
    <w:name w:val="List Number"/>
    <w:basedOn w:val="1"/>
    <w:autoRedefine/>
    <w:qFormat/>
    <w:uiPriority w:val="0"/>
    <w:pPr>
      <w:widowControl/>
      <w:spacing w:beforeAutospacing="1" w:afterAutospacing="1"/>
      <w:jc w:val="left"/>
    </w:pPr>
    <w:rPr>
      <w:rFonts w:ascii="宋体" w:hAnsi="宋体" w:cs="宋体"/>
      <w:kern w:val="0"/>
      <w:sz w:val="24"/>
    </w:rPr>
  </w:style>
  <w:style w:type="paragraph" w:styleId="10">
    <w:name w:val="Document Map"/>
    <w:basedOn w:val="1"/>
    <w:link w:val="78"/>
    <w:autoRedefine/>
    <w:qFormat/>
    <w:uiPriority w:val="0"/>
    <w:rPr>
      <w:rFonts w:ascii="宋体" w:hAnsi="Calibri"/>
      <w:sz w:val="18"/>
      <w:szCs w:val="18"/>
    </w:rPr>
  </w:style>
  <w:style w:type="paragraph" w:styleId="11">
    <w:name w:val="annotation text"/>
    <w:basedOn w:val="1"/>
    <w:autoRedefine/>
    <w:qFormat/>
    <w:uiPriority w:val="0"/>
    <w:pPr>
      <w:jc w:val="left"/>
    </w:pPr>
  </w:style>
  <w:style w:type="paragraph" w:styleId="12">
    <w:name w:val="Body Text 3"/>
    <w:basedOn w:val="1"/>
    <w:autoRedefine/>
    <w:qFormat/>
    <w:uiPriority w:val="0"/>
    <w:rPr>
      <w:sz w:val="16"/>
      <w:szCs w:val="16"/>
    </w:rPr>
  </w:style>
  <w:style w:type="paragraph" w:styleId="13">
    <w:name w:val="Body Text Indent"/>
    <w:basedOn w:val="1"/>
    <w:next w:val="14"/>
    <w:autoRedefine/>
    <w:qFormat/>
    <w:uiPriority w:val="0"/>
    <w:pPr>
      <w:widowControl/>
      <w:spacing w:beforeAutospacing="1" w:afterAutospacing="1"/>
      <w:jc w:val="left"/>
    </w:pPr>
    <w:rPr>
      <w:rFonts w:ascii="宋体" w:hAnsi="宋体" w:cs="宋体"/>
      <w:kern w:val="0"/>
      <w:sz w:val="24"/>
    </w:rPr>
  </w:style>
  <w:style w:type="paragraph" w:styleId="14">
    <w:name w:val="Body Text First Indent 2"/>
    <w:basedOn w:val="13"/>
    <w:autoRedefine/>
    <w:qFormat/>
    <w:uiPriority w:val="0"/>
    <w:pPr>
      <w:ind w:firstLine="420" w:firstLineChars="200"/>
    </w:pPr>
  </w:style>
  <w:style w:type="paragraph" w:styleId="15">
    <w:name w:val="List 2"/>
    <w:basedOn w:val="1"/>
    <w:autoRedefine/>
    <w:qFormat/>
    <w:uiPriority w:val="0"/>
    <w:pPr>
      <w:ind w:left="100" w:leftChars="200" w:hanging="200" w:hangingChars="200"/>
    </w:pPr>
  </w:style>
  <w:style w:type="paragraph" w:styleId="16">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7">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8">
    <w:name w:val="Plain Text"/>
    <w:basedOn w:val="1"/>
    <w:autoRedefine/>
    <w:qFormat/>
    <w:uiPriority w:val="0"/>
    <w:pPr>
      <w:widowControl/>
      <w:spacing w:beforeAutospacing="1" w:afterAutospacing="1"/>
      <w:jc w:val="left"/>
    </w:pPr>
    <w:rPr>
      <w:rFonts w:ascii="宋体" w:hAnsi="宋体" w:cs="宋体"/>
      <w:kern w:val="0"/>
      <w:sz w:val="24"/>
    </w:rPr>
  </w:style>
  <w:style w:type="paragraph" w:styleId="19">
    <w:name w:val="Date"/>
    <w:basedOn w:val="1"/>
    <w:next w:val="1"/>
    <w:autoRedefine/>
    <w:qFormat/>
    <w:uiPriority w:val="0"/>
    <w:pPr>
      <w:ind w:left="100" w:leftChars="2500"/>
    </w:pPr>
    <w:rPr>
      <w:rFonts w:ascii="宋体" w:hAnsi="宋体"/>
      <w:sz w:val="28"/>
    </w:rPr>
  </w:style>
  <w:style w:type="paragraph" w:styleId="20">
    <w:name w:val="Body Text Indent 2"/>
    <w:basedOn w:val="1"/>
    <w:autoRedefine/>
    <w:qFormat/>
    <w:uiPriority w:val="0"/>
    <w:pPr>
      <w:spacing w:line="480" w:lineRule="auto"/>
      <w:ind w:left="420" w:leftChars="200"/>
    </w:pPr>
  </w:style>
  <w:style w:type="paragraph" w:styleId="21">
    <w:name w:val="footer"/>
    <w:basedOn w:val="1"/>
    <w:autoRedefine/>
    <w:qFormat/>
    <w:uiPriority w:val="0"/>
    <w:pPr>
      <w:tabs>
        <w:tab w:val="center" w:pos="4153"/>
        <w:tab w:val="right" w:pos="8306"/>
      </w:tabs>
      <w:snapToGrid w:val="0"/>
      <w:jc w:val="left"/>
    </w:pPr>
    <w:rPr>
      <w:sz w:val="18"/>
      <w:szCs w:val="18"/>
    </w:rPr>
  </w:style>
  <w:style w:type="paragraph" w:styleId="22">
    <w:name w:val="envelope return"/>
    <w:basedOn w:val="1"/>
    <w:autoRedefine/>
    <w:unhideWhenUsed/>
    <w:qFormat/>
    <w:uiPriority w:val="99"/>
    <w:pPr>
      <w:snapToGrid w:val="0"/>
    </w:pPr>
    <w:rPr>
      <w:rFonts w:ascii="Arial" w:hAnsi="Arial"/>
    </w:rPr>
  </w:style>
  <w:style w:type="paragraph" w:styleId="2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autoRedefine/>
    <w:qFormat/>
    <w:uiPriority w:val="0"/>
  </w:style>
  <w:style w:type="paragraph" w:styleId="25">
    <w:name w:val="List"/>
    <w:basedOn w:val="1"/>
    <w:autoRedefine/>
    <w:qFormat/>
    <w:uiPriority w:val="0"/>
    <w:pPr>
      <w:ind w:left="200" w:hanging="200" w:hangingChars="200"/>
    </w:pPr>
  </w:style>
  <w:style w:type="paragraph" w:styleId="26">
    <w:name w:val="Body Text 2"/>
    <w:basedOn w:val="1"/>
    <w:next w:val="4"/>
    <w:autoRedefine/>
    <w:qFormat/>
    <w:uiPriority w:val="0"/>
    <w:pPr>
      <w:spacing w:line="480" w:lineRule="auto"/>
    </w:pPr>
  </w:style>
  <w:style w:type="paragraph" w:styleId="27">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8">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9">
    <w:name w:val="Normal (Web)"/>
    <w:basedOn w:val="1"/>
    <w:autoRedefine/>
    <w:qFormat/>
    <w:uiPriority w:val="99"/>
    <w:pPr>
      <w:spacing w:before="100" w:beforeAutospacing="1" w:after="100" w:afterAutospacing="1"/>
      <w:jc w:val="left"/>
    </w:pPr>
    <w:rPr>
      <w:kern w:val="0"/>
      <w:sz w:val="24"/>
    </w:rPr>
  </w:style>
  <w:style w:type="paragraph" w:styleId="30">
    <w:name w:val="Title"/>
    <w:basedOn w:val="1"/>
    <w:autoRedefine/>
    <w:qFormat/>
    <w:uiPriority w:val="0"/>
    <w:pPr>
      <w:jc w:val="center"/>
      <w:outlineLvl w:val="0"/>
    </w:pPr>
    <w:rPr>
      <w:rFonts w:ascii="Arial" w:hAnsi="Arial" w:cs="Arial"/>
      <w:b/>
      <w:bCs/>
      <w:sz w:val="32"/>
      <w:szCs w:val="32"/>
    </w:rPr>
  </w:style>
  <w:style w:type="paragraph" w:styleId="31">
    <w:name w:val="Body Text First Indent"/>
    <w:basedOn w:val="4"/>
    <w:next w:val="14"/>
    <w:autoRedefine/>
    <w:qFormat/>
    <w:uiPriority w:val="0"/>
    <w:pPr>
      <w:spacing w:line="360" w:lineRule="auto"/>
      <w:ind w:firstLine="420" w:firstLineChars="100"/>
    </w:pPr>
    <w:rPr>
      <w:szCs w:val="21"/>
    </w:rPr>
  </w:style>
  <w:style w:type="table" w:styleId="33">
    <w:name w:val="Table Grid"/>
    <w:basedOn w:val="32"/>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autoRedefine/>
    <w:qFormat/>
    <w:uiPriority w:val="0"/>
    <w:rPr>
      <w:b/>
      <w:bCs/>
      <w:szCs w:val="24"/>
    </w:rPr>
  </w:style>
  <w:style w:type="character" w:styleId="36">
    <w:name w:val="page number"/>
    <w:basedOn w:val="34"/>
    <w:autoRedefine/>
    <w:qFormat/>
    <w:uiPriority w:val="0"/>
  </w:style>
  <w:style w:type="character" w:styleId="37">
    <w:name w:val="FollowedHyperlink"/>
    <w:autoRedefine/>
    <w:qFormat/>
    <w:uiPriority w:val="0"/>
    <w:rPr>
      <w:color w:val="333333"/>
      <w:szCs w:val="24"/>
      <w:u w:val="none"/>
    </w:rPr>
  </w:style>
  <w:style w:type="character" w:styleId="38">
    <w:name w:val="Emphasis"/>
    <w:basedOn w:val="34"/>
    <w:autoRedefine/>
    <w:qFormat/>
    <w:uiPriority w:val="0"/>
  </w:style>
  <w:style w:type="character" w:styleId="39">
    <w:name w:val="HTML Definition"/>
    <w:basedOn w:val="34"/>
    <w:autoRedefine/>
    <w:qFormat/>
    <w:uiPriority w:val="0"/>
  </w:style>
  <w:style w:type="character" w:styleId="40">
    <w:name w:val="HTML Typewriter"/>
    <w:basedOn w:val="34"/>
    <w:autoRedefine/>
    <w:qFormat/>
    <w:uiPriority w:val="0"/>
    <w:rPr>
      <w:rFonts w:hint="default" w:ascii="monospace" w:hAnsi="monospace" w:eastAsia="monospace" w:cs="monospace"/>
      <w:sz w:val="20"/>
    </w:rPr>
  </w:style>
  <w:style w:type="character" w:styleId="41">
    <w:name w:val="HTML Acronym"/>
    <w:basedOn w:val="34"/>
    <w:autoRedefine/>
    <w:qFormat/>
    <w:uiPriority w:val="0"/>
  </w:style>
  <w:style w:type="character" w:styleId="42">
    <w:name w:val="HTML Variable"/>
    <w:basedOn w:val="34"/>
    <w:autoRedefine/>
    <w:qFormat/>
    <w:uiPriority w:val="0"/>
  </w:style>
  <w:style w:type="character" w:styleId="43">
    <w:name w:val="Hyperlink"/>
    <w:basedOn w:val="34"/>
    <w:autoRedefine/>
    <w:qFormat/>
    <w:uiPriority w:val="0"/>
    <w:rPr>
      <w:color w:val="333333"/>
      <w:szCs w:val="24"/>
      <w:u w:val="none"/>
    </w:rPr>
  </w:style>
  <w:style w:type="character" w:styleId="44">
    <w:name w:val="HTML Code"/>
    <w:basedOn w:val="34"/>
    <w:autoRedefine/>
    <w:qFormat/>
    <w:uiPriority w:val="0"/>
    <w:rPr>
      <w:rFonts w:ascii="monospace" w:hAnsi="monospace" w:eastAsia="monospace" w:cs="monospace"/>
      <w:sz w:val="20"/>
    </w:rPr>
  </w:style>
  <w:style w:type="character" w:styleId="45">
    <w:name w:val="HTML Cite"/>
    <w:basedOn w:val="34"/>
    <w:autoRedefine/>
    <w:qFormat/>
    <w:uiPriority w:val="0"/>
  </w:style>
  <w:style w:type="character" w:styleId="46">
    <w:name w:val="HTML Keyboard"/>
    <w:basedOn w:val="34"/>
    <w:autoRedefine/>
    <w:qFormat/>
    <w:uiPriority w:val="0"/>
    <w:rPr>
      <w:rFonts w:hint="default" w:ascii="monospace" w:hAnsi="monospace" w:eastAsia="monospace" w:cs="monospace"/>
      <w:sz w:val="20"/>
    </w:rPr>
  </w:style>
  <w:style w:type="character" w:styleId="47">
    <w:name w:val="HTML Sample"/>
    <w:basedOn w:val="34"/>
    <w:autoRedefine/>
    <w:qFormat/>
    <w:uiPriority w:val="0"/>
    <w:rPr>
      <w:rFonts w:hint="default" w:ascii="monospace" w:hAnsi="monospace" w:eastAsia="monospace" w:cs="monospace"/>
    </w:rPr>
  </w:style>
  <w:style w:type="paragraph" w:customStyle="1" w:styleId="48">
    <w:name w:val="Default"/>
    <w:next w:val="1"/>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9">
    <w:name w:val="表格文字"/>
    <w:basedOn w:val="1"/>
    <w:next w:val="4"/>
    <w:autoRedefine/>
    <w:qFormat/>
    <w:uiPriority w:val="0"/>
    <w:pPr>
      <w:adjustRightInd w:val="0"/>
      <w:spacing w:line="420" w:lineRule="atLeast"/>
      <w:jc w:val="left"/>
      <w:textAlignment w:val="baseline"/>
    </w:pPr>
    <w:rPr>
      <w:kern w:val="0"/>
      <w:szCs w:val="20"/>
    </w:rPr>
  </w:style>
  <w:style w:type="paragraph" w:customStyle="1" w:styleId="50">
    <w:name w:val="大标题"/>
    <w:basedOn w:val="1"/>
    <w:next w:val="14"/>
    <w:autoRedefine/>
    <w:qFormat/>
    <w:uiPriority w:val="0"/>
    <w:pPr>
      <w:jc w:val="center"/>
    </w:pPr>
    <w:rPr>
      <w:rFonts w:ascii="Arial" w:hAnsi="Arial"/>
      <w:b/>
      <w:sz w:val="28"/>
    </w:rPr>
  </w:style>
  <w:style w:type="paragraph" w:customStyle="1" w:styleId="51">
    <w:name w:val="正文文本缩进 21"/>
    <w:basedOn w:val="1"/>
    <w:autoRedefine/>
    <w:qFormat/>
    <w:uiPriority w:val="0"/>
    <w:pPr>
      <w:ind w:firstLine="570"/>
    </w:pPr>
    <w:rPr>
      <w:sz w:val="32"/>
    </w:rPr>
  </w:style>
  <w:style w:type="paragraph" w:customStyle="1" w:styleId="52">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53">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4">
    <w:name w:val="No Spacing1"/>
    <w:basedOn w:val="1"/>
    <w:autoRedefine/>
    <w:qFormat/>
    <w:uiPriority w:val="0"/>
    <w:pPr>
      <w:spacing w:line="400" w:lineRule="exact"/>
    </w:pPr>
    <w:rPr>
      <w:sz w:val="24"/>
    </w:rPr>
  </w:style>
  <w:style w:type="paragraph" w:customStyle="1" w:styleId="55">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6">
    <w:name w:val="Char"/>
    <w:basedOn w:val="1"/>
    <w:autoRedefine/>
    <w:qFormat/>
    <w:uiPriority w:val="0"/>
  </w:style>
  <w:style w:type="paragraph" w:customStyle="1" w:styleId="57">
    <w:name w:val="正文缩进1"/>
    <w:basedOn w:val="1"/>
    <w:autoRedefine/>
    <w:qFormat/>
    <w:uiPriority w:val="0"/>
    <w:pPr>
      <w:widowControl/>
      <w:ind w:firstLine="420"/>
      <w:jc w:val="left"/>
    </w:pPr>
    <w:rPr>
      <w:kern w:val="0"/>
      <w:szCs w:val="20"/>
    </w:rPr>
  </w:style>
  <w:style w:type="paragraph" w:customStyle="1" w:styleId="58">
    <w:name w:val="列出段落2"/>
    <w:basedOn w:val="1"/>
    <w:autoRedefine/>
    <w:qFormat/>
    <w:uiPriority w:val="34"/>
    <w:pPr>
      <w:ind w:firstLine="420" w:firstLineChars="200"/>
    </w:pPr>
  </w:style>
  <w:style w:type="paragraph" w:customStyle="1" w:styleId="59">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60">
    <w:name w:val="1"/>
    <w:basedOn w:val="1"/>
    <w:autoRedefine/>
    <w:qFormat/>
    <w:uiPriority w:val="0"/>
    <w:pPr>
      <w:widowControl/>
      <w:spacing w:beforeAutospacing="1" w:afterAutospacing="1"/>
      <w:jc w:val="left"/>
    </w:pPr>
    <w:rPr>
      <w:rFonts w:ascii="宋体" w:hAnsi="宋体" w:cs="宋体"/>
      <w:kern w:val="0"/>
      <w:sz w:val="24"/>
    </w:rPr>
  </w:style>
  <w:style w:type="paragraph" w:styleId="61">
    <w:name w:val="No Spacing"/>
    <w:autoRedefine/>
    <w:qFormat/>
    <w:uiPriority w:val="1"/>
    <w:rPr>
      <w:rFonts w:ascii="Calibri" w:hAnsi="Calibri" w:eastAsia="宋体" w:cs="Times New Roman"/>
      <w:sz w:val="22"/>
      <w:szCs w:val="22"/>
      <w:lang w:val="en-US" w:eastAsia="zh-CN" w:bidi="ar-SA"/>
    </w:rPr>
  </w:style>
  <w:style w:type="paragraph" w:customStyle="1" w:styleId="62">
    <w:name w:val="_Style 2"/>
    <w:basedOn w:val="1"/>
    <w:autoRedefine/>
    <w:qFormat/>
    <w:uiPriority w:val="34"/>
    <w:pPr>
      <w:ind w:firstLine="420" w:firstLineChars="200"/>
    </w:pPr>
    <w:rPr>
      <w:rFonts w:ascii="Calibri" w:hAnsi="Calibri"/>
    </w:rPr>
  </w:style>
  <w:style w:type="paragraph" w:customStyle="1" w:styleId="63">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4">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5">
    <w:name w:val="Char1"/>
    <w:basedOn w:val="1"/>
    <w:autoRedefine/>
    <w:qFormat/>
    <w:uiPriority w:val="0"/>
  </w:style>
  <w:style w:type="paragraph" w:customStyle="1" w:styleId="66">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7">
    <w:name w:val="Table Paragraph"/>
    <w:basedOn w:val="1"/>
    <w:autoRedefine/>
    <w:qFormat/>
    <w:uiPriority w:val="1"/>
    <w:pPr>
      <w:jc w:val="left"/>
    </w:pPr>
    <w:rPr>
      <w:rFonts w:ascii="宋体" w:hAnsi="宋体" w:cs="宋体"/>
      <w:kern w:val="0"/>
      <w:sz w:val="22"/>
      <w:szCs w:val="22"/>
      <w:lang w:eastAsia="en-US"/>
    </w:rPr>
  </w:style>
  <w:style w:type="paragraph" w:customStyle="1" w:styleId="68">
    <w:name w:val="无间隔1"/>
    <w:basedOn w:val="1"/>
    <w:autoRedefine/>
    <w:qFormat/>
    <w:uiPriority w:val="1"/>
    <w:pPr>
      <w:spacing w:line="400" w:lineRule="exact"/>
    </w:pPr>
    <w:rPr>
      <w:sz w:val="24"/>
    </w:rPr>
  </w:style>
  <w:style w:type="paragraph" w:customStyle="1" w:styleId="69">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70">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71">
    <w:name w:val="列出段落1"/>
    <w:basedOn w:val="1"/>
    <w:autoRedefine/>
    <w:qFormat/>
    <w:uiPriority w:val="34"/>
    <w:pPr>
      <w:ind w:firstLine="420" w:firstLineChars="200"/>
    </w:pPr>
  </w:style>
  <w:style w:type="paragraph" w:customStyle="1" w:styleId="72">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3">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4">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5">
    <w:name w:val="列出段落11"/>
    <w:basedOn w:val="1"/>
    <w:autoRedefine/>
    <w:qFormat/>
    <w:uiPriority w:val="0"/>
    <w:pPr>
      <w:ind w:firstLine="420" w:firstLineChars="200"/>
    </w:pPr>
    <w:rPr>
      <w:rFonts w:ascii="Calibri" w:hAnsi="Calibri"/>
      <w:szCs w:val="22"/>
    </w:rPr>
  </w:style>
  <w:style w:type="character" w:customStyle="1" w:styleId="76">
    <w:name w:val="正文文本 Char"/>
    <w:basedOn w:val="34"/>
    <w:link w:val="4"/>
    <w:autoRedefine/>
    <w:qFormat/>
    <w:uiPriority w:val="0"/>
  </w:style>
  <w:style w:type="character" w:customStyle="1" w:styleId="77">
    <w:name w:val="apple-converted-space"/>
    <w:basedOn w:val="34"/>
    <w:autoRedefine/>
    <w:qFormat/>
    <w:uiPriority w:val="0"/>
  </w:style>
  <w:style w:type="character" w:customStyle="1" w:styleId="78">
    <w:name w:val="文档结构图 Char"/>
    <w:link w:val="10"/>
    <w:autoRedefine/>
    <w:qFormat/>
    <w:uiPriority w:val="0"/>
    <w:rPr>
      <w:rFonts w:ascii="宋体"/>
      <w:kern w:val="2"/>
      <w:sz w:val="18"/>
      <w:szCs w:val="18"/>
    </w:rPr>
  </w:style>
  <w:style w:type="character" w:customStyle="1" w:styleId="79">
    <w:name w:val="不明显强调1"/>
    <w:autoRedefine/>
    <w:qFormat/>
    <w:uiPriority w:val="19"/>
    <w:rPr>
      <w:i/>
      <w:iCs/>
      <w:color w:val="7F7F7F"/>
      <w:szCs w:val="24"/>
    </w:rPr>
  </w:style>
  <w:style w:type="character" w:customStyle="1" w:styleId="80">
    <w:name w:val="font71"/>
    <w:basedOn w:val="34"/>
    <w:autoRedefine/>
    <w:qFormat/>
    <w:uiPriority w:val="0"/>
    <w:rPr>
      <w:rFonts w:hint="eastAsia" w:ascii="宋体" w:hAnsi="宋体" w:eastAsia="宋体" w:cs="宋体"/>
      <w:color w:val="000000"/>
      <w:sz w:val="28"/>
      <w:szCs w:val="28"/>
      <w:u w:val="none"/>
    </w:rPr>
  </w:style>
  <w:style w:type="character" w:customStyle="1" w:styleId="81">
    <w:name w:val="font21"/>
    <w:autoRedefine/>
    <w:qFormat/>
    <w:uiPriority w:val="0"/>
    <w:rPr>
      <w:rFonts w:hint="default" w:ascii="Calibri" w:hAnsi="Calibri" w:cs="Calibri"/>
      <w:color w:val="000000"/>
      <w:sz w:val="28"/>
      <w:szCs w:val="28"/>
      <w:u w:val="none"/>
    </w:rPr>
  </w:style>
  <w:style w:type="character" w:customStyle="1" w:styleId="82">
    <w:name w:val="17"/>
    <w:autoRedefine/>
    <w:qFormat/>
    <w:uiPriority w:val="0"/>
    <w:rPr>
      <w:rFonts w:hint="eastAsia" w:ascii="宋体" w:hAnsi="宋体" w:eastAsia="宋体"/>
      <w:color w:val="000000"/>
    </w:rPr>
  </w:style>
  <w:style w:type="character" w:customStyle="1" w:styleId="83">
    <w:name w:val="font91"/>
    <w:autoRedefine/>
    <w:qFormat/>
    <w:uiPriority w:val="0"/>
    <w:rPr>
      <w:rFonts w:hint="eastAsia" w:ascii="宋体" w:hAnsi="宋体" w:eastAsia="宋体" w:cs="宋体"/>
      <w:color w:val="FF0000"/>
      <w:sz w:val="28"/>
      <w:szCs w:val="28"/>
      <w:u w:val="none"/>
    </w:rPr>
  </w:style>
  <w:style w:type="paragraph" w:customStyle="1" w:styleId="84">
    <w:name w:val="p"/>
    <w:basedOn w:val="1"/>
    <w:autoRedefine/>
    <w:qFormat/>
    <w:uiPriority w:val="0"/>
    <w:pPr>
      <w:widowControl/>
      <w:spacing w:line="432" w:lineRule="auto"/>
      <w:jc w:val="left"/>
    </w:pPr>
    <w:rPr>
      <w:rFonts w:ascii="宋体" w:hAnsi="宋体" w:cs="宋体"/>
      <w:kern w:val="0"/>
      <w:sz w:val="24"/>
    </w:rPr>
  </w:style>
  <w:style w:type="paragraph" w:customStyle="1" w:styleId="85">
    <w:name w:val="WPSOffice手动目录 1"/>
    <w:autoRedefine/>
    <w:qFormat/>
    <w:uiPriority w:val="0"/>
    <w:rPr>
      <w:rFonts w:ascii="Times New Roman" w:hAnsi="Times New Roman" w:eastAsia="宋体" w:cs="Times New Roman"/>
      <w:lang w:val="en-US" w:eastAsia="zh-CN" w:bidi="ar-SA"/>
    </w:rPr>
  </w:style>
  <w:style w:type="paragraph" w:customStyle="1" w:styleId="86">
    <w:name w:val="*正文_1"/>
    <w:basedOn w:val="1"/>
    <w:next w:val="1"/>
    <w:autoRedefine/>
    <w:qFormat/>
    <w:uiPriority w:val="0"/>
    <w:pPr>
      <w:widowControl/>
      <w:ind w:firstLine="482"/>
    </w:pPr>
    <w:rPr>
      <w:rFonts w:ascii="微软雅黑" w:hAnsi="微软雅黑" w:eastAsia="微软雅黑"/>
      <w:kern w:val="0"/>
      <w:szCs w:val="20"/>
    </w:rPr>
  </w:style>
  <w:style w:type="character" w:customStyle="1" w:styleId="87">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8">
    <w:name w:val="列表段落1"/>
    <w:basedOn w:val="1"/>
    <w:autoRedefine/>
    <w:qFormat/>
    <w:uiPriority w:val="34"/>
    <w:pPr>
      <w:widowControl/>
      <w:ind w:firstLine="420"/>
      <w:jc w:val="left"/>
    </w:pPr>
    <w:rPr>
      <w:kern w:val="0"/>
    </w:rPr>
  </w:style>
  <w:style w:type="paragraph" w:styleId="89">
    <w:name w:val="List Paragraph"/>
    <w:basedOn w:val="1"/>
    <w:autoRedefine/>
    <w:qFormat/>
    <w:uiPriority w:val="34"/>
    <w:pPr>
      <w:ind w:firstLine="420" w:firstLineChars="200"/>
    </w:pPr>
  </w:style>
  <w:style w:type="character" w:customStyle="1" w:styleId="90">
    <w:name w:val="hover18"/>
    <w:basedOn w:val="34"/>
    <w:autoRedefine/>
    <w:qFormat/>
    <w:uiPriority w:val="0"/>
  </w:style>
  <w:style w:type="table" w:customStyle="1" w:styleId="91">
    <w:name w:val="Table Normal"/>
    <w:autoRedefine/>
    <w:qFormat/>
    <w:uiPriority w:val="0"/>
    <w:tblPr>
      <w:tblCellMar>
        <w:top w:w="0" w:type="dxa"/>
        <w:left w:w="0" w:type="dxa"/>
        <w:bottom w:w="0" w:type="dxa"/>
        <w:right w:w="0" w:type="dxa"/>
      </w:tblCellMar>
    </w:tblPr>
  </w:style>
  <w:style w:type="paragraph" w:customStyle="1" w:styleId="92">
    <w:name w:val="Table Text"/>
    <w:basedOn w:val="1"/>
    <w:autoRedefine/>
    <w:semiHidden/>
    <w:qFormat/>
    <w:uiPriority w:val="0"/>
    <w:rPr>
      <w:rFonts w:ascii="宋体" w:hAnsi="宋体" w:eastAsia="宋体" w:cs="宋体"/>
      <w:sz w:val="45"/>
      <w:szCs w:val="45"/>
      <w:lang w:val="en-US" w:eastAsia="en-US" w:bidi="ar-SA"/>
    </w:rPr>
  </w:style>
  <w:style w:type="character" w:customStyle="1" w:styleId="93">
    <w:name w:val="font11"/>
    <w:basedOn w:val="34"/>
    <w:autoRedefine/>
    <w:qFormat/>
    <w:uiPriority w:val="0"/>
    <w:rPr>
      <w:rFonts w:ascii="Calibri" w:hAnsi="Calibri" w:cs="Calibri"/>
      <w:color w:val="000000"/>
      <w:sz w:val="24"/>
      <w:szCs w:val="24"/>
      <w:u w:val="none"/>
    </w:rPr>
  </w:style>
  <w:style w:type="paragraph" w:customStyle="1" w:styleId="94">
    <w:name w:val="正文1"/>
    <w:next w:val="1"/>
    <w:autoRedefine/>
    <w:qFormat/>
    <w:uiPriority w:val="0"/>
    <w:pPr>
      <w:widowControl w:val="0"/>
      <w:spacing w:line="360" w:lineRule="auto"/>
      <w:jc w:val="both"/>
    </w:pPr>
    <w:rPr>
      <w:rFonts w:ascii="Calibri" w:hAnsi="Calibri" w:eastAsia="宋体" w:cs="Times New Roman"/>
      <w:sz w:val="24"/>
      <w:szCs w:val="22"/>
      <w:lang w:val="en-US" w:eastAsia="zh-CN" w:bidi="ar-SA"/>
    </w:rPr>
  </w:style>
  <w:style w:type="character" w:customStyle="1" w:styleId="95">
    <w:name w:val="font61"/>
    <w:basedOn w:val="34"/>
    <w:qFormat/>
    <w:uiPriority w:val="0"/>
    <w:rPr>
      <w:rFonts w:ascii="宋体" w:hAnsi="宋体" w:eastAsia="宋体" w:cs="宋体"/>
      <w:color w:val="000000"/>
      <w:sz w:val="24"/>
      <w:szCs w:val="24"/>
      <w:u w:val="none"/>
    </w:rPr>
  </w:style>
  <w:style w:type="character" w:customStyle="1" w:styleId="96">
    <w:name w:val="font81"/>
    <w:basedOn w:val="34"/>
    <w:qFormat/>
    <w:uiPriority w:val="0"/>
    <w:rPr>
      <w:rFonts w:hint="default" w:ascii="Times New Roman" w:hAnsi="Times New Roman" w:cs="Times New Roman"/>
      <w:color w:val="000000"/>
      <w:sz w:val="18"/>
      <w:szCs w:val="18"/>
      <w:u w:val="none"/>
    </w:rPr>
  </w:style>
  <w:style w:type="paragraph" w:customStyle="1" w:styleId="97">
    <w:name w:val="正文文本1"/>
    <w:basedOn w:val="1"/>
    <w:qFormat/>
    <w:uiPriority w:val="0"/>
    <w:pPr>
      <w:spacing w:line="352" w:lineRule="auto"/>
      <w:jc w:val="left"/>
    </w:pPr>
    <w:rPr>
      <w:rFonts w:ascii="宋体" w:hAnsi="宋体" w:eastAsia="宋体" w:cs="宋体"/>
      <w:sz w:val="22"/>
      <w:lang w:val="zh-CN" w:bidi="zh-CN"/>
    </w:rPr>
  </w:style>
  <w:style w:type="paragraph" w:customStyle="1" w:styleId="98">
    <w:name w:val="txt"/>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36</Pages>
  <Words>16778</Words>
  <Characters>17668</Characters>
  <Lines>50</Lines>
  <Paragraphs>68</Paragraphs>
  <TotalTime>0</TotalTime>
  <ScaleCrop>false</ScaleCrop>
  <LinksUpToDate>false</LinksUpToDate>
  <CharactersWithSpaces>18502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潘艳红</cp:lastModifiedBy>
  <cp:lastPrinted>2025-06-05T07:57:00Z</cp:lastPrinted>
  <dcterms:modified xsi:type="dcterms:W3CDTF">2025-06-06T09:39:50Z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6B4FDCA957CB4E82998C2E32247B97ED_13</vt:lpwstr>
  </property>
  <property fmtid="{D5CDD505-2E9C-101B-9397-08002B2CF9AE}" pid="4" name="KSOTemplateDocerSaveRecord">
    <vt:lpwstr>eyJoZGlkIjoiMzU0MTZjMjFkMjFjOGMwYTIzNWEzZDljNjYxZWI0MmYiLCJ1c2VySWQiOiIxNjg0NTc5MjM2In0=</vt:lpwstr>
  </property>
</Properties>
</file>