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C611CEB">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highlight w:val="none"/>
          <w:lang w:val="en-US" w:eastAsia="zh-CN"/>
        </w:rPr>
      </w:pPr>
      <w:bookmarkStart w:id="0" w:name="_Toc22804073"/>
      <w:bookmarkEnd w:id="0"/>
      <w:bookmarkStart w:id="1" w:name="_Toc22953395"/>
      <w:bookmarkEnd w:id="1"/>
    </w:p>
    <w:p w14:paraId="0C735D19">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4"/>
          <w:szCs w:val="44"/>
          <w:highlight w:val="none"/>
          <w:lang w:val="en-US" w:eastAsia="zh-CN"/>
        </w:rPr>
      </w:pPr>
      <w:r>
        <w:rPr>
          <w:rFonts w:hint="eastAsia" w:cs="宋体"/>
          <w:b/>
          <w:bCs/>
          <w:color w:val="auto"/>
          <w:sz w:val="44"/>
          <w:szCs w:val="44"/>
          <w:highlight w:val="none"/>
          <w:lang w:val="en-US" w:eastAsia="zh-CN"/>
        </w:rPr>
        <w:t>驻马店市中心医院2025年监护除颤类、血压计类、理疗类、医用灯泡类常用配件招标项目（二次）</w:t>
      </w:r>
    </w:p>
    <w:p w14:paraId="0610F71D">
      <w:pPr>
        <w:pStyle w:val="19"/>
        <w:bidi w:val="0"/>
        <w:jc w:val="center"/>
        <w:rPr>
          <w:rStyle w:val="44"/>
          <w:rFonts w:hint="eastAsia" w:ascii="宋体" w:hAnsi="宋体" w:eastAsia="宋体" w:cs="宋体"/>
          <w:b/>
          <w:bCs/>
          <w:color w:val="auto"/>
          <w:sz w:val="48"/>
          <w:szCs w:val="48"/>
          <w:highlight w:val="none"/>
        </w:rPr>
      </w:pPr>
    </w:p>
    <w:p w14:paraId="158E927F">
      <w:pPr>
        <w:pStyle w:val="19"/>
        <w:bidi w:val="0"/>
        <w:jc w:val="center"/>
        <w:rPr>
          <w:rStyle w:val="44"/>
          <w:rFonts w:hint="eastAsia" w:ascii="宋体" w:hAnsi="宋体" w:eastAsia="宋体" w:cs="宋体"/>
          <w:b/>
          <w:bCs/>
          <w:color w:val="auto"/>
          <w:sz w:val="48"/>
          <w:szCs w:val="48"/>
          <w:highlight w:val="none"/>
        </w:rPr>
      </w:pPr>
    </w:p>
    <w:p w14:paraId="5ABC8E99">
      <w:pPr>
        <w:pStyle w:val="19"/>
        <w:bidi w:val="0"/>
        <w:jc w:val="center"/>
        <w:rPr>
          <w:rStyle w:val="44"/>
          <w:rFonts w:hint="eastAsia" w:ascii="宋体" w:hAnsi="宋体" w:eastAsia="宋体" w:cs="宋体"/>
          <w:b/>
          <w:bCs/>
          <w:color w:val="auto"/>
          <w:sz w:val="48"/>
          <w:szCs w:val="48"/>
          <w:highlight w:val="none"/>
        </w:rPr>
      </w:pPr>
    </w:p>
    <w:p w14:paraId="20826E73">
      <w:pPr>
        <w:pStyle w:val="19"/>
        <w:bidi w:val="0"/>
        <w:jc w:val="center"/>
        <w:rPr>
          <w:rStyle w:val="44"/>
          <w:rFonts w:hint="eastAsia" w:ascii="宋体" w:hAnsi="宋体" w:eastAsia="宋体" w:cs="宋体"/>
          <w:b/>
          <w:bCs/>
          <w:color w:val="auto"/>
          <w:sz w:val="48"/>
          <w:szCs w:val="48"/>
          <w:highlight w:val="none"/>
        </w:rPr>
      </w:pPr>
    </w:p>
    <w:p w14:paraId="12179BBF">
      <w:pPr>
        <w:pStyle w:val="19"/>
        <w:bidi w:val="0"/>
        <w:jc w:val="center"/>
        <w:rPr>
          <w:rStyle w:val="44"/>
          <w:rFonts w:hint="eastAsia" w:ascii="宋体" w:hAnsi="宋体" w:eastAsia="宋体" w:cs="宋体"/>
          <w:b/>
          <w:bCs/>
          <w:color w:val="auto"/>
          <w:szCs w:val="44"/>
          <w:highlight w:val="none"/>
        </w:rPr>
      </w:pPr>
      <w:r>
        <w:rPr>
          <w:rStyle w:val="44"/>
          <w:rFonts w:hint="eastAsia" w:ascii="宋体" w:hAnsi="宋体" w:eastAsia="宋体" w:cs="宋体"/>
          <w:b/>
          <w:bCs/>
          <w:color w:val="auto"/>
          <w:sz w:val="72"/>
          <w:szCs w:val="72"/>
          <w:highlight w:val="none"/>
          <w:lang w:val="en-US" w:eastAsia="zh-CN"/>
        </w:rPr>
        <w:t>采购</w:t>
      </w:r>
      <w:r>
        <w:rPr>
          <w:rStyle w:val="44"/>
          <w:rFonts w:hint="eastAsia" w:ascii="宋体" w:hAnsi="宋体" w:eastAsia="宋体" w:cs="宋体"/>
          <w:b/>
          <w:bCs/>
          <w:color w:val="auto"/>
          <w:sz w:val="72"/>
          <w:szCs w:val="72"/>
          <w:highlight w:val="none"/>
        </w:rPr>
        <w:t>文件</w:t>
      </w:r>
    </w:p>
    <w:p w14:paraId="76626E87">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highlight w:val="none"/>
          <w:lang w:val="en-US" w:eastAsia="zh-CN"/>
        </w:rPr>
      </w:pPr>
    </w:p>
    <w:p w14:paraId="30933B8F">
      <w:pPr>
        <w:snapToGrid w:val="0"/>
        <w:spacing w:line="380" w:lineRule="exact"/>
        <w:jc w:val="center"/>
        <w:rPr>
          <w:rFonts w:hint="eastAsia" w:ascii="宋体" w:hAnsi="宋体" w:eastAsia="宋体" w:cs="宋体"/>
          <w:b/>
          <w:color w:val="auto"/>
          <w:sz w:val="32"/>
          <w:szCs w:val="32"/>
          <w:highlight w:val="none"/>
        </w:rPr>
      </w:pPr>
    </w:p>
    <w:p w14:paraId="41A0088B">
      <w:pPr>
        <w:pStyle w:val="32"/>
        <w:rPr>
          <w:rFonts w:hint="eastAsia" w:ascii="宋体" w:hAnsi="宋体" w:eastAsia="宋体" w:cs="宋体"/>
          <w:color w:val="auto"/>
          <w:highlight w:val="none"/>
        </w:rPr>
      </w:pPr>
    </w:p>
    <w:p w14:paraId="1478C157">
      <w:pPr>
        <w:pStyle w:val="59"/>
        <w:rPr>
          <w:rFonts w:hint="eastAsia" w:ascii="宋体" w:hAnsi="宋体" w:eastAsia="宋体" w:cs="宋体"/>
          <w:bCs/>
          <w:color w:val="auto"/>
          <w:sz w:val="2"/>
          <w:szCs w:val="2"/>
          <w:highlight w:val="none"/>
        </w:rPr>
      </w:pPr>
    </w:p>
    <w:p w14:paraId="6F43A5E5">
      <w:pPr>
        <w:rPr>
          <w:rFonts w:hint="eastAsia" w:ascii="宋体" w:hAnsi="宋体" w:eastAsia="宋体" w:cs="宋体"/>
          <w:bCs/>
          <w:color w:val="auto"/>
          <w:sz w:val="2"/>
          <w:szCs w:val="2"/>
          <w:highlight w:val="none"/>
        </w:rPr>
      </w:pPr>
    </w:p>
    <w:p w14:paraId="21FDF0F3">
      <w:pPr>
        <w:spacing w:line="20" w:lineRule="exact"/>
        <w:rPr>
          <w:rFonts w:hint="eastAsia" w:ascii="宋体" w:hAnsi="宋体" w:eastAsia="宋体" w:cs="宋体"/>
          <w:bCs/>
          <w:color w:val="auto"/>
          <w:sz w:val="2"/>
          <w:szCs w:val="2"/>
          <w:highlight w:val="none"/>
        </w:rPr>
      </w:pPr>
    </w:p>
    <w:p w14:paraId="7B1AF9DD">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highlight w:val="none"/>
          <w:lang w:val="en-US" w:eastAsia="zh-CN"/>
        </w:rPr>
      </w:pPr>
    </w:p>
    <w:p w14:paraId="1E415EDD">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highlight w:val="none"/>
          <w:lang w:val="en-US" w:eastAsia="zh-CN"/>
        </w:rPr>
      </w:pPr>
    </w:p>
    <w:p w14:paraId="7D27EEAE">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highlight w:val="none"/>
          <w:lang w:val="en-US" w:eastAsia="zh-CN"/>
        </w:rPr>
      </w:pPr>
    </w:p>
    <w:p w14:paraId="5CC28899">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highlight w:val="none"/>
        </w:rPr>
      </w:pPr>
      <w:r>
        <w:rPr>
          <w:rFonts w:hint="eastAsia" w:ascii="宋体" w:hAnsi="宋体" w:eastAsia="宋体" w:cs="宋体"/>
          <w:b/>
          <w:bCs/>
          <w:color w:val="auto"/>
          <w:spacing w:val="-10"/>
          <w:sz w:val="34"/>
          <w:szCs w:val="34"/>
          <w:highlight w:val="none"/>
          <w:lang w:val="en-US" w:eastAsia="zh-CN"/>
        </w:rPr>
        <w:t>采 购</w:t>
      </w:r>
      <w:r>
        <w:rPr>
          <w:rFonts w:hint="eastAsia" w:ascii="宋体" w:hAnsi="宋体" w:eastAsia="宋体" w:cs="宋体"/>
          <w:b/>
          <w:bCs/>
          <w:color w:val="auto"/>
          <w:spacing w:val="-10"/>
          <w:sz w:val="34"/>
          <w:szCs w:val="34"/>
          <w:highlight w:val="none"/>
        </w:rPr>
        <w:t xml:space="preserve"> 人：驻马店市中心医院</w:t>
      </w:r>
    </w:p>
    <w:p w14:paraId="11E7A050">
      <w:pPr>
        <w:tabs>
          <w:tab w:val="left" w:pos="2505"/>
          <w:tab w:val="center" w:pos="4535"/>
        </w:tabs>
        <w:snapToGrid w:val="0"/>
        <w:spacing w:line="480" w:lineRule="auto"/>
        <w:jc w:val="center"/>
        <w:rPr>
          <w:rFonts w:hint="eastAsia" w:ascii="宋体" w:hAnsi="宋体" w:eastAsia="宋体" w:cs="宋体"/>
          <w:b/>
          <w:color w:val="auto"/>
          <w:sz w:val="36"/>
          <w:szCs w:val="36"/>
          <w:highlight w:val="none"/>
        </w:rPr>
        <w:sectPr>
          <w:pgSz w:w="11923" w:h="16838"/>
          <w:pgMar w:top="1304" w:right="1417" w:bottom="992" w:left="1417" w:header="720" w:footer="720"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ascii="宋体" w:hAnsi="宋体" w:eastAsia="宋体" w:cs="宋体"/>
          <w:b/>
          <w:bCs/>
          <w:color w:val="auto"/>
          <w:spacing w:val="40"/>
          <w:sz w:val="34"/>
          <w:szCs w:val="34"/>
          <w:highlight w:val="none"/>
          <w:lang w:val="en-US" w:eastAsia="zh-CN"/>
        </w:rPr>
        <w:t>2025</w:t>
      </w:r>
      <w:r>
        <w:rPr>
          <w:rFonts w:hint="eastAsia" w:ascii="宋体" w:hAnsi="宋体" w:eastAsia="宋体" w:cs="宋体"/>
          <w:b/>
          <w:bCs/>
          <w:color w:val="auto"/>
          <w:spacing w:val="40"/>
          <w:sz w:val="34"/>
          <w:szCs w:val="34"/>
          <w:highlight w:val="none"/>
        </w:rPr>
        <w:t>年</w:t>
      </w:r>
      <w:r>
        <w:rPr>
          <w:rFonts w:hint="eastAsia" w:ascii="宋体" w:hAnsi="宋体" w:eastAsia="宋体" w:cs="宋体"/>
          <w:b/>
          <w:bCs/>
          <w:color w:val="auto"/>
          <w:spacing w:val="40"/>
          <w:sz w:val="34"/>
          <w:szCs w:val="34"/>
          <w:highlight w:val="none"/>
          <w:lang w:val="en-US" w:eastAsia="zh-CN"/>
        </w:rPr>
        <w:t>0</w:t>
      </w:r>
      <w:r>
        <w:rPr>
          <w:rFonts w:hint="eastAsia" w:ascii="宋体" w:hAnsi="宋体" w:cs="宋体"/>
          <w:b/>
          <w:bCs/>
          <w:color w:val="auto"/>
          <w:spacing w:val="40"/>
          <w:sz w:val="34"/>
          <w:szCs w:val="34"/>
          <w:highlight w:val="none"/>
          <w:lang w:val="en-US" w:eastAsia="zh-CN"/>
        </w:rPr>
        <w:t>3</w:t>
      </w:r>
      <w:r>
        <w:rPr>
          <w:rFonts w:hint="eastAsia" w:ascii="宋体" w:hAnsi="宋体" w:eastAsia="宋体" w:cs="宋体"/>
          <w:b/>
          <w:bCs/>
          <w:color w:val="auto"/>
          <w:spacing w:val="40"/>
          <w:sz w:val="34"/>
          <w:szCs w:val="34"/>
          <w:highlight w:val="none"/>
        </w:rPr>
        <w:t>月</w:t>
      </w:r>
    </w:p>
    <w:p w14:paraId="24C943CC">
      <w:pPr>
        <w:rPr>
          <w:rFonts w:hint="eastAsia" w:ascii="宋体" w:hAnsi="宋体" w:eastAsia="宋体" w:cs="宋体"/>
          <w:bCs/>
          <w:color w:val="auto"/>
          <w:sz w:val="24"/>
          <w:highlight w:val="none"/>
        </w:rPr>
      </w:pPr>
    </w:p>
    <w:p w14:paraId="5FE7AB9D">
      <w:pPr>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目录</w:t>
      </w:r>
    </w:p>
    <w:p w14:paraId="6C886C89">
      <w:pPr>
        <w:pStyle w:val="53"/>
        <w:rPr>
          <w:rFonts w:hint="eastAsia" w:ascii="宋体" w:hAnsi="宋体" w:eastAsia="宋体" w:cs="宋体"/>
          <w:color w:val="auto"/>
          <w:highlight w:val="none"/>
        </w:rPr>
      </w:pPr>
    </w:p>
    <w:p w14:paraId="5621469A">
      <w:pPr>
        <w:pStyle w:val="25"/>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TOC \o "1-1" \h \u </w:instrText>
      </w:r>
      <w:r>
        <w:rPr>
          <w:rFonts w:hint="eastAsia" w:ascii="宋体" w:hAnsi="宋体" w:eastAsia="宋体" w:cs="宋体"/>
          <w:b/>
          <w:bCs/>
          <w:color w:val="auto"/>
          <w:sz w:val="32"/>
          <w:szCs w:val="32"/>
          <w:highlight w:val="none"/>
        </w:rPr>
        <w:fldChar w:fldCharType="separate"/>
      </w: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_Toc26528 </w:instrText>
      </w:r>
      <w:r>
        <w:rPr>
          <w:rFonts w:hint="eastAsia" w:ascii="宋体" w:hAnsi="宋体" w:eastAsia="宋体" w:cs="宋体"/>
          <w:bCs/>
          <w:szCs w:val="32"/>
          <w:highlight w:val="none"/>
        </w:rPr>
        <w:fldChar w:fldCharType="separate"/>
      </w:r>
      <w:r>
        <w:rPr>
          <w:rFonts w:hint="eastAsia" w:ascii="宋体" w:hAnsi="宋体" w:eastAsia="宋体" w:cs="宋体"/>
          <w:szCs w:val="32"/>
          <w:highlight w:val="none"/>
        </w:rPr>
        <w:t xml:space="preserve">第一章  </w:t>
      </w:r>
      <w:r>
        <w:rPr>
          <w:rFonts w:hint="eastAsia" w:ascii="宋体" w:hAnsi="宋体" w:eastAsia="宋体" w:cs="宋体"/>
          <w:szCs w:val="32"/>
          <w:highlight w:val="none"/>
          <w:lang w:val="en-US" w:eastAsia="zh-CN"/>
        </w:rPr>
        <w:t>竞争性磋商采购</w:t>
      </w:r>
      <w:r>
        <w:rPr>
          <w:rFonts w:hint="eastAsia" w:ascii="宋体" w:hAnsi="宋体" w:eastAsia="宋体" w:cs="宋体"/>
          <w:szCs w:val="32"/>
          <w:highlight w:val="none"/>
        </w:rPr>
        <w:t>公告</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_Toc26528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78C5A8E5">
      <w:pPr>
        <w:pStyle w:val="25"/>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_Toc19124 </w:instrText>
      </w:r>
      <w:r>
        <w:rPr>
          <w:rFonts w:hint="eastAsia" w:ascii="宋体" w:hAnsi="宋体" w:eastAsia="宋体" w:cs="宋体"/>
          <w:bCs/>
          <w:szCs w:val="32"/>
          <w:highlight w:val="none"/>
        </w:rPr>
        <w:fldChar w:fldCharType="separate"/>
      </w:r>
      <w:r>
        <w:rPr>
          <w:rFonts w:hint="eastAsia" w:ascii="宋体" w:hAnsi="宋体" w:eastAsia="宋体" w:cs="宋体"/>
          <w:szCs w:val="32"/>
          <w:highlight w:val="none"/>
        </w:rPr>
        <w:t xml:space="preserve">第二章  </w:t>
      </w:r>
      <w:r>
        <w:rPr>
          <w:rFonts w:hint="eastAsia" w:ascii="宋体" w:hAnsi="宋体" w:eastAsia="宋体" w:cs="宋体"/>
          <w:szCs w:val="32"/>
          <w:highlight w:val="none"/>
          <w:lang w:eastAsia="zh-CN"/>
        </w:rPr>
        <w:t>采购</w:t>
      </w:r>
      <w:r>
        <w:rPr>
          <w:rFonts w:hint="eastAsia" w:ascii="宋体" w:hAnsi="宋体" w:eastAsia="宋体" w:cs="宋体"/>
          <w:szCs w:val="32"/>
          <w:highlight w:val="none"/>
        </w:rPr>
        <w:t>需求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_Toc19124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2B55758C">
      <w:pPr>
        <w:pStyle w:val="25"/>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_Toc8501 </w:instrText>
      </w:r>
      <w:r>
        <w:rPr>
          <w:rFonts w:hint="eastAsia" w:ascii="宋体" w:hAnsi="宋体" w:eastAsia="宋体" w:cs="宋体"/>
          <w:bCs/>
          <w:szCs w:val="32"/>
          <w:highlight w:val="none"/>
        </w:rPr>
        <w:fldChar w:fldCharType="separate"/>
      </w:r>
      <w:r>
        <w:rPr>
          <w:rFonts w:hint="eastAsia" w:ascii="宋体" w:hAnsi="宋体" w:eastAsia="宋体" w:cs="宋体"/>
          <w:bCs/>
          <w:szCs w:val="32"/>
          <w:highlight w:val="none"/>
        </w:rPr>
        <w:t xml:space="preserve">第三章  </w:t>
      </w:r>
      <w:r>
        <w:rPr>
          <w:rFonts w:hint="eastAsia" w:ascii="宋体" w:hAnsi="宋体" w:eastAsia="宋体" w:cs="宋体"/>
          <w:bCs/>
          <w:szCs w:val="32"/>
          <w:highlight w:val="none"/>
          <w:lang w:eastAsia="zh-CN"/>
        </w:rPr>
        <w:t>供应商</w:t>
      </w:r>
      <w:r>
        <w:rPr>
          <w:rFonts w:hint="eastAsia" w:ascii="宋体" w:hAnsi="宋体" w:eastAsia="宋体" w:cs="宋体"/>
          <w:bCs/>
          <w:szCs w:val="32"/>
          <w:highlight w:val="none"/>
        </w:rPr>
        <w:t>须知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_Toc8501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31D52CE9">
      <w:pPr>
        <w:pStyle w:val="25"/>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_Toc31399 </w:instrText>
      </w:r>
      <w:r>
        <w:rPr>
          <w:rFonts w:hint="eastAsia" w:ascii="宋体" w:hAnsi="宋体" w:eastAsia="宋体" w:cs="宋体"/>
          <w:bCs/>
          <w:szCs w:val="32"/>
          <w:highlight w:val="none"/>
        </w:rPr>
        <w:fldChar w:fldCharType="separate"/>
      </w:r>
      <w:r>
        <w:rPr>
          <w:rFonts w:hint="eastAsia" w:ascii="宋体" w:hAnsi="宋体" w:eastAsia="宋体" w:cs="宋体"/>
          <w:bCs/>
          <w:kern w:val="0"/>
          <w:szCs w:val="32"/>
          <w:highlight w:val="none"/>
        </w:rPr>
        <w:t>第四章  评标办法及评分标准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_Toc31399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5C59EEF9">
      <w:pPr>
        <w:pStyle w:val="25"/>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_Toc11904 </w:instrText>
      </w:r>
      <w:r>
        <w:rPr>
          <w:rFonts w:hint="eastAsia" w:ascii="宋体" w:hAnsi="宋体" w:eastAsia="宋体" w:cs="宋体"/>
          <w:bCs/>
          <w:szCs w:val="32"/>
          <w:highlight w:val="none"/>
        </w:rPr>
        <w:fldChar w:fldCharType="separate"/>
      </w:r>
      <w:r>
        <w:rPr>
          <w:rFonts w:hint="eastAsia" w:ascii="宋体" w:hAnsi="宋体" w:eastAsia="宋体" w:cs="宋体"/>
          <w:szCs w:val="28"/>
          <w:highlight w:val="none"/>
        </w:rPr>
        <w:t>第五章  采购合同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_Toc11904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399D6560">
      <w:pPr>
        <w:pStyle w:val="25"/>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_Toc18702 </w:instrText>
      </w:r>
      <w:r>
        <w:rPr>
          <w:rFonts w:hint="eastAsia" w:ascii="宋体" w:hAnsi="宋体" w:eastAsia="宋体" w:cs="宋体"/>
          <w:bCs/>
          <w:szCs w:val="32"/>
          <w:highlight w:val="none"/>
        </w:rPr>
        <w:fldChar w:fldCharType="separate"/>
      </w:r>
      <w:r>
        <w:rPr>
          <w:rFonts w:hint="eastAsia" w:ascii="宋体" w:hAnsi="宋体" w:eastAsia="宋体" w:cs="宋体"/>
          <w:szCs w:val="32"/>
          <w:highlight w:val="none"/>
        </w:rPr>
        <w:t xml:space="preserve">第六章  </w:t>
      </w:r>
      <w:r>
        <w:rPr>
          <w:rFonts w:hint="eastAsia" w:ascii="宋体" w:hAnsi="宋体" w:eastAsia="宋体" w:cs="宋体"/>
          <w:szCs w:val="32"/>
          <w:highlight w:val="none"/>
          <w:lang w:val="en-US" w:eastAsia="zh-CN"/>
        </w:rPr>
        <w:t>响应</w:t>
      </w:r>
      <w:r>
        <w:rPr>
          <w:rFonts w:hint="eastAsia" w:ascii="宋体" w:hAnsi="宋体" w:eastAsia="宋体" w:cs="宋体"/>
          <w:szCs w:val="32"/>
          <w:highlight w:val="none"/>
        </w:rPr>
        <w:t>文件格式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_Toc18702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583C03D8">
      <w:pPr>
        <w:pStyle w:val="83"/>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32"/>
          <w:szCs w:val="32"/>
          <w:highlight w:val="none"/>
        </w:rPr>
      </w:pPr>
      <w:r>
        <w:rPr>
          <w:rFonts w:hint="eastAsia" w:ascii="宋体" w:hAnsi="宋体" w:eastAsia="宋体" w:cs="宋体"/>
          <w:bCs/>
          <w:color w:val="auto"/>
          <w:szCs w:val="32"/>
          <w:highlight w:val="none"/>
        </w:rPr>
        <w:fldChar w:fldCharType="end"/>
      </w:r>
    </w:p>
    <w:p w14:paraId="2DB3124A">
      <w:pPr>
        <w:spacing w:line="440" w:lineRule="exact"/>
        <w:rPr>
          <w:rFonts w:hint="eastAsia" w:ascii="宋体" w:hAnsi="宋体" w:eastAsia="宋体" w:cs="宋体"/>
          <w:b/>
          <w:color w:val="auto"/>
          <w:sz w:val="32"/>
          <w:szCs w:val="32"/>
          <w:highlight w:val="none"/>
        </w:rPr>
      </w:pPr>
    </w:p>
    <w:p w14:paraId="1EB37B1F">
      <w:pPr>
        <w:spacing w:line="360" w:lineRule="auto"/>
        <w:ind w:firstLine="2409" w:firstLineChars="600"/>
        <w:rPr>
          <w:rFonts w:hint="eastAsia" w:ascii="宋体" w:hAnsi="宋体" w:eastAsia="宋体" w:cs="宋体"/>
          <w:b/>
          <w:color w:val="auto"/>
          <w:sz w:val="40"/>
          <w:szCs w:val="40"/>
          <w:highlight w:val="none"/>
        </w:rPr>
        <w:sectPr>
          <w:headerReference r:id="rId3" w:type="default"/>
          <w:footerReference r:id="rId4" w:type="default"/>
          <w:pgSz w:w="11906" w:h="16838"/>
          <w:pgMar w:top="1417" w:right="1474" w:bottom="1417" w:left="1474" w:header="851" w:footer="624" w:gutter="0"/>
          <w:pgBorders>
            <w:top w:val="none" w:sz="0" w:space="0"/>
            <w:left w:val="none" w:sz="0" w:space="0"/>
            <w:bottom w:val="none" w:sz="0" w:space="0"/>
            <w:right w:val="none" w:sz="0" w:space="0"/>
          </w:pgBorders>
          <w:pgNumType w:fmt="decimal" w:start="1"/>
          <w:cols w:space="720" w:num="1"/>
          <w:docGrid w:type="lines" w:linePitch="319" w:charSpace="0"/>
        </w:sectPr>
      </w:pPr>
    </w:p>
    <w:p w14:paraId="507E5BEB">
      <w:pPr>
        <w:spacing w:line="360" w:lineRule="auto"/>
        <w:jc w:val="center"/>
        <w:outlineLvl w:val="0"/>
        <w:rPr>
          <w:rFonts w:hint="eastAsia" w:ascii="宋体" w:hAnsi="宋体" w:eastAsia="宋体" w:cs="宋体"/>
          <w:b/>
          <w:color w:val="auto"/>
          <w:sz w:val="32"/>
          <w:szCs w:val="32"/>
          <w:highlight w:val="none"/>
        </w:rPr>
      </w:pPr>
      <w:bookmarkStart w:id="2" w:name="_Toc26528"/>
      <w:r>
        <w:rPr>
          <w:rFonts w:hint="eastAsia" w:ascii="宋体" w:hAnsi="宋体" w:eastAsia="宋体" w:cs="宋体"/>
          <w:b/>
          <w:color w:val="auto"/>
          <w:sz w:val="32"/>
          <w:szCs w:val="32"/>
          <w:highlight w:val="none"/>
        </w:rPr>
        <w:t xml:space="preserve">第一章  </w:t>
      </w:r>
      <w:r>
        <w:rPr>
          <w:rFonts w:hint="eastAsia" w:ascii="宋体" w:hAnsi="宋体" w:eastAsia="宋体" w:cs="宋体"/>
          <w:b/>
          <w:color w:val="auto"/>
          <w:sz w:val="32"/>
          <w:szCs w:val="32"/>
          <w:highlight w:val="none"/>
          <w:lang w:val="en-US" w:eastAsia="zh-CN"/>
        </w:rPr>
        <w:t>竞争性磋商采购</w:t>
      </w:r>
      <w:r>
        <w:rPr>
          <w:rFonts w:hint="eastAsia" w:ascii="宋体" w:hAnsi="宋体" w:eastAsia="宋体" w:cs="宋体"/>
          <w:b/>
          <w:color w:val="auto"/>
          <w:sz w:val="32"/>
          <w:szCs w:val="32"/>
          <w:highlight w:val="none"/>
        </w:rPr>
        <w:t>公告</w:t>
      </w:r>
      <w:bookmarkEnd w:id="2"/>
    </w:p>
    <w:p w14:paraId="6C730A6D">
      <w:pPr>
        <w:keepNext w:val="0"/>
        <w:keepLines w:val="0"/>
        <w:pageBreakBefore w:val="0"/>
        <w:widowControl/>
        <w:kinsoku/>
        <w:wordWrap/>
        <w:overflowPunct/>
        <w:topLinePunct w:val="0"/>
        <w:autoSpaceDE/>
        <w:autoSpaceDN/>
        <w:bidi w:val="0"/>
        <w:adjustRightInd w:val="0"/>
        <w:snapToGrid w:val="0"/>
        <w:spacing w:afterAutospacing="0" w:line="324"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驻马店市中心医院2025年监护除颤类、血压计类、理疗类、医用灯泡类常用配件招标项目（二次）</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14:paraId="0FE28867">
      <w:pPr>
        <w:keepNext w:val="0"/>
        <w:keepLines w:val="0"/>
        <w:pageBreakBefore w:val="0"/>
        <w:kinsoku/>
        <w:overflowPunct/>
        <w:topLinePunct w:val="0"/>
        <w:autoSpaceDE/>
        <w:autoSpaceDN/>
        <w:bidi w:val="0"/>
        <w:snapToGrid w:val="0"/>
        <w:spacing w:line="324" w:lineRule="auto"/>
        <w:ind w:firstLine="420" w:firstLineChars="200"/>
        <w:textAlignment w:val="auto"/>
        <w:rPr>
          <w:rFonts w:hint="eastAsia"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2025年监护除颤类、血压计类、理疗类、医用灯泡类常用配件招标项目</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14:paraId="1CE5C737">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14:paraId="440F3ACB">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驻马店市中心医院2025年监护除颤类、血压计类、理疗类、医用灯泡类常用配件招标项目（二次）</w:t>
      </w:r>
      <w:r>
        <w:rPr>
          <w:rFonts w:hint="eastAsia" w:ascii="宋体" w:hAnsi="宋体" w:eastAsia="宋体" w:cs="宋体"/>
          <w:color w:val="auto"/>
          <w:szCs w:val="21"/>
          <w:highlight w:val="none"/>
          <w:shd w:val="clear" w:color="auto" w:fill="FFFFFF"/>
          <w:lang w:eastAsia="zh-CN"/>
        </w:rPr>
        <w:t>；</w:t>
      </w:r>
    </w:p>
    <w:p w14:paraId="642E45D6">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14:paraId="4E6B5DBD">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24万元</w:t>
      </w:r>
      <w:r>
        <w:rPr>
          <w:rFonts w:hint="eastAsia" w:ascii="宋体" w:hAnsi="宋体" w:eastAsia="宋体" w:cs="宋体"/>
          <w:color w:val="auto"/>
          <w:szCs w:val="21"/>
          <w:highlight w:val="none"/>
          <w:shd w:val="clear" w:color="auto" w:fill="FFFFFF"/>
          <w:lang w:val="en-US" w:eastAsia="zh-CN"/>
        </w:rPr>
        <w:t>（据实结算）；</w:t>
      </w:r>
    </w:p>
    <w:p w14:paraId="68B9D611">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供货期限：一年；</w:t>
      </w:r>
    </w:p>
    <w:p w14:paraId="3A1F96FB">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val="en-US" w:eastAsia="zh-CN"/>
        </w:rPr>
        <w:t>符合国家有关法律法规及行业标准要求</w:t>
      </w:r>
      <w:r>
        <w:rPr>
          <w:rFonts w:hint="eastAsia" w:ascii="宋体" w:hAnsi="宋体" w:eastAsia="宋体" w:cs="宋体"/>
          <w:color w:val="auto"/>
          <w:szCs w:val="21"/>
          <w:highlight w:val="none"/>
          <w:shd w:val="clear" w:color="auto" w:fill="FFFFFF"/>
          <w:lang w:eastAsia="zh-CN"/>
        </w:rPr>
        <w:t>。</w:t>
      </w:r>
    </w:p>
    <w:p w14:paraId="03CB2157">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23626"/>
      <w:bookmarkStart w:id="5" w:name="_Toc27704"/>
      <w:bookmarkStart w:id="6" w:name="_Toc18607"/>
      <w:bookmarkStart w:id="7" w:name="_Toc16639"/>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14:paraId="021FB4C9">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bookmarkStart w:id="8" w:name="_Toc23395"/>
      <w:bookmarkStart w:id="9" w:name="_Toc30971"/>
      <w:bookmarkStart w:id="10" w:name="_Toc9562"/>
      <w:bookmarkStart w:id="11" w:name="_Toc7823"/>
      <w:bookmarkStart w:id="12" w:name="_Toc30643"/>
      <w:r>
        <w:rPr>
          <w:rFonts w:hint="eastAsia" w:ascii="宋体" w:hAnsi="宋体" w:eastAsia="宋体" w:cs="宋体"/>
          <w:color w:val="auto"/>
          <w:szCs w:val="21"/>
          <w:highlight w:val="none"/>
          <w:shd w:val="clear" w:color="auto" w:fill="FFFFFF"/>
          <w:lang w:val="en-US" w:eastAsia="zh-CN"/>
        </w:rPr>
        <w:t>1、供应商应为注册在中华人民共和国境内的，且具有独立承担民事责任能力，提供营业执照或其他证明材料。</w:t>
      </w:r>
    </w:p>
    <w:p w14:paraId="2DC7632B">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2、供应商应提供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2AFD340F">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3、具有履行合同所必需的设备和专业技术能力（提供书面声明函）；</w:t>
      </w:r>
    </w:p>
    <w:p w14:paraId="211E62A8">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4、参加本采购活动前三年内，在经营活动中没有重大违法记录（提供书面声明函）；</w:t>
      </w:r>
    </w:p>
    <w:p w14:paraId="758453BC">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5、符合法律、行政法规规定的其他条件；</w:t>
      </w:r>
    </w:p>
    <w:p w14:paraId="095B0FCF">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6、特定资格要求：</w:t>
      </w:r>
    </w:p>
    <w:p w14:paraId="756A9E4C">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6.1供应商为代理商应具有符合《医疗器械监督管理条例》（国务院令第 739 号）相适应的经营资格（投标产品属于第二类医疗器械：须提供有效的医疗器械经营备案凭证；投标产品属于第三类医疗器械：须提供有效的医疗器械经营许可证；投标产品属于第一类医疗器械或投标产品不属于医疗器械：须提供相应的证明资料或情况说明）。</w:t>
      </w:r>
    </w:p>
    <w:p w14:paraId="5F8E5C63">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6.2供应商为境内生产商应具有符合《医疗器械监督管理条例》（国务院令第 739 号）相适应的生产资格（投标产品属于第二类或第三类医疗器械：须提供有效的医疗器械生产许可证；投标产品属于第一类医疗器械：须提供有效的医疗器械生产备案凭证；投标产品不属于医疗器械：须提供相应的证明资料或情况说明）。</w:t>
      </w:r>
    </w:p>
    <w:p w14:paraId="09CABC04">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6.3投标产品属于第二类或第三类医疗器械：须提供有效的医疗器械产品注册证；投标产品属于第一类医疗器械：须提供有效的产品备案凭证；投标产品不属于医疗器械：须提供相应的证明资料或情况说明。</w:t>
      </w:r>
    </w:p>
    <w:p w14:paraId="6BE761B5">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7、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18945812">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8、单位负责人为同一人或者存在直接控股、管理关系的不同供应商，不得参加同一合同项下的磋商（提供书面声明函）。一经发现，将导致投标同时被拒绝。</w:t>
      </w:r>
    </w:p>
    <w:p w14:paraId="73273EAD">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9、不接受联合体磋商。</w:t>
      </w:r>
    </w:p>
    <w:p w14:paraId="784D075B">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4"/>
          <w:lang w:val="en-US" w:eastAsia="zh-CN" w:bidi="ar-SA"/>
        </w:rPr>
      </w:pPr>
      <w:r>
        <w:rPr>
          <w:rFonts w:hint="eastAsia" w:ascii="宋体" w:hAnsi="宋体" w:eastAsia="宋体" w:cs="宋体"/>
          <w:b/>
          <w:bCs/>
          <w:color w:val="auto"/>
          <w:kern w:val="2"/>
          <w:sz w:val="21"/>
          <w:szCs w:val="24"/>
          <w:lang w:val="en-US" w:eastAsia="zh-CN" w:bidi="ar-SA"/>
        </w:rPr>
        <w:t>三、获取采购文件</w:t>
      </w:r>
      <w:bookmarkEnd w:id="8"/>
      <w:bookmarkEnd w:id="9"/>
      <w:bookmarkEnd w:id="10"/>
      <w:bookmarkEnd w:id="11"/>
      <w:bookmarkEnd w:id="12"/>
    </w:p>
    <w:p w14:paraId="638A410B">
      <w:pPr>
        <w:keepNext w:val="0"/>
        <w:keepLines w:val="0"/>
        <w:pageBreakBefore w:val="0"/>
        <w:widowControl/>
        <w:kinsoku/>
        <w:overflowPunct/>
        <w:topLinePunct w:val="0"/>
        <w:autoSpaceDE/>
        <w:autoSpaceDN/>
        <w:bidi w:val="0"/>
        <w:adjustRightInd w:val="0"/>
        <w:snapToGrid w:val="0"/>
        <w:spacing w:line="324" w:lineRule="auto"/>
        <w:ind w:firstLine="420" w:firstLineChars="200"/>
        <w:jc w:val="left"/>
        <w:textAlignment w:val="auto"/>
        <w:rPr>
          <w:rFonts w:hint="eastAsia"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eastAsia="宋体" w:cs="宋体"/>
          <w:color w:val="auto"/>
          <w:szCs w:val="21"/>
          <w:shd w:val="clear" w:color="auto" w:fill="FFFFFF"/>
          <w:lang w:val="en-US" w:eastAsia="zh-CN"/>
        </w:rPr>
        <w:t xml:space="preserve">. </w:t>
      </w:r>
      <w:r>
        <w:rPr>
          <w:rFonts w:hint="eastAsia" w:ascii="宋体" w:hAnsi="宋体" w:eastAsia="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highlight w:val="none"/>
          <w:shd w:val="clear" w:color="auto" w:fill="FFFFFF"/>
          <w14:textFill>
            <w14:solidFill>
              <w14:schemeClr w14:val="tx1"/>
            </w14:solidFill>
          </w14:textFill>
        </w:rPr>
        <w:t>时间：202</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Cs w:val="21"/>
          <w:highlight w:val="none"/>
          <w:shd w:val="clear" w:color="auto" w:fill="FFFFFF"/>
          <w14:textFill>
            <w14:solidFill>
              <w14:schemeClr w14:val="tx1"/>
            </w14:solidFill>
          </w14:textFill>
        </w:rPr>
        <w:t>年</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Cs w:val="21"/>
          <w:highlight w:val="none"/>
          <w:shd w:val="clear" w:color="auto" w:fill="FFFFFF"/>
          <w14:textFill>
            <w14:solidFill>
              <w14:schemeClr w14:val="tx1"/>
            </w14:solidFill>
          </w14:textFill>
        </w:rPr>
        <w:t>月</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18</w:t>
      </w:r>
      <w:r>
        <w:rPr>
          <w:rFonts w:hint="eastAsia" w:ascii="宋体" w:hAnsi="宋体" w:eastAsia="宋体" w:cs="宋体"/>
          <w:color w:val="000000" w:themeColor="text1"/>
          <w:szCs w:val="21"/>
          <w:highlight w:val="none"/>
          <w:shd w:val="clear" w:color="auto" w:fill="FFFFFF"/>
          <w14:textFill>
            <w14:solidFill>
              <w14:schemeClr w14:val="tx1"/>
            </w14:solidFill>
          </w14:textFill>
        </w:rPr>
        <w:t>日-202</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Cs w:val="21"/>
          <w:highlight w:val="none"/>
          <w:shd w:val="clear" w:color="auto" w:fill="FFFFFF"/>
          <w14:textFill>
            <w14:solidFill>
              <w14:schemeClr w14:val="tx1"/>
            </w14:solidFill>
          </w14:textFill>
        </w:rPr>
        <w:t>年</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 xml:space="preserve">3 </w:t>
      </w:r>
      <w:r>
        <w:rPr>
          <w:rFonts w:hint="eastAsia" w:ascii="宋体" w:hAnsi="宋体" w:eastAsia="宋体" w:cs="宋体"/>
          <w:color w:val="000000" w:themeColor="text1"/>
          <w:szCs w:val="21"/>
          <w:highlight w:val="none"/>
          <w:shd w:val="clear" w:color="auto" w:fill="FFFFFF"/>
          <w14:textFill>
            <w14:solidFill>
              <w14:schemeClr w14:val="tx1"/>
            </w14:solidFill>
          </w14:textFill>
        </w:rPr>
        <w:t>月</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20</w:t>
      </w:r>
      <w:r>
        <w:rPr>
          <w:rFonts w:hint="eastAsia" w:ascii="宋体" w:hAnsi="宋体" w:eastAsia="宋体" w:cs="宋体"/>
          <w:color w:val="000000" w:themeColor="text1"/>
          <w:szCs w:val="21"/>
          <w:highlight w:val="none"/>
          <w:shd w:val="clear" w:color="auto" w:fill="FFFFFF"/>
          <w14:textFill>
            <w14:solidFill>
              <w14:schemeClr w14:val="tx1"/>
            </w14:solidFill>
          </w14:textFill>
        </w:rPr>
        <w:t>日，上</w:t>
      </w:r>
      <w:bookmarkStart w:id="101" w:name="_GoBack"/>
      <w:bookmarkEnd w:id="101"/>
      <w:r>
        <w:rPr>
          <w:rFonts w:hint="eastAsia" w:ascii="宋体" w:hAnsi="宋体" w:eastAsia="宋体" w:cs="宋体"/>
          <w:color w:val="000000" w:themeColor="text1"/>
          <w:szCs w:val="21"/>
          <w:highlight w:val="none"/>
          <w:shd w:val="clear" w:color="auto" w:fill="FFFFFF"/>
          <w14:textFill>
            <w14:solidFill>
              <w14:schemeClr w14:val="tx1"/>
            </w14:solidFill>
          </w14:textFill>
        </w:rPr>
        <w:t>午</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0</w:t>
      </w:r>
      <w:r>
        <w:rPr>
          <w:rFonts w:hint="eastAsia" w:ascii="宋体" w:hAnsi="宋体" w:eastAsia="宋体" w:cs="宋体"/>
          <w:color w:val="000000" w:themeColor="text1"/>
          <w:szCs w:val="21"/>
          <w:highlight w:val="none"/>
          <w:shd w:val="clear" w:color="auto" w:fill="FFFFFF"/>
          <w14:textFill>
            <w14:solidFill>
              <w14:schemeClr w14:val="tx1"/>
            </w14:solidFill>
          </w14:textFill>
        </w:rPr>
        <w:t>8</w:t>
      </w:r>
      <w:r>
        <w:rPr>
          <w:rFonts w:hint="eastAsia" w:ascii="宋体" w:hAnsi="宋体" w:eastAsia="宋体" w:cs="宋体"/>
          <w:color w:val="000000" w:themeColor="text1"/>
          <w:szCs w:val="21"/>
          <w:shd w:val="clear" w:color="auto" w:fill="FFFFFF"/>
          <w14:textFill>
            <w14:solidFill>
              <w14:schemeClr w14:val="tx1"/>
            </w14:solidFill>
          </w14:textFill>
        </w:rPr>
        <w:t>：30-11:30，下午14:30-17:30（北京时间，法定节假日除外）</w:t>
      </w:r>
      <w:r>
        <w:rPr>
          <w:rFonts w:hint="eastAsia" w:ascii="宋体" w:hAnsi="宋体" w:eastAsia="宋体" w:cs="宋体"/>
          <w:color w:val="000000" w:themeColor="text1"/>
          <w:szCs w:val="21"/>
          <w:shd w:val="clear" w:color="auto" w:fill="FFFFFF"/>
          <w:lang w:val="en-US" w:eastAsia="zh-CN"/>
          <w14:textFill>
            <w14:solidFill>
              <w14:schemeClr w14:val="tx1"/>
            </w14:solidFill>
          </w14:textFill>
        </w:rPr>
        <w:t>。</w:t>
      </w:r>
    </w:p>
    <w:p w14:paraId="035BF3FE">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 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单，一年内不得参与我院任何采购活动。成交供应商缴纳相应服务费。 </w:t>
      </w:r>
    </w:p>
    <w:p w14:paraId="381837FA">
      <w:pPr>
        <w:keepNext w:val="0"/>
        <w:keepLines w:val="0"/>
        <w:pageBreakBefore w:val="0"/>
        <w:widowControl/>
        <w:kinsoku/>
        <w:wordWrap w:val="0"/>
        <w:overflowPunct/>
        <w:topLinePunct w:val="0"/>
        <w:autoSpaceDE/>
        <w:autoSpaceDN/>
        <w:bidi w:val="0"/>
        <w:snapToGrid w:val="0"/>
        <w:spacing w:before="0" w:beforeAutospacing="0" w:after="0" w:afterAutospacing="0" w:line="324" w:lineRule="auto"/>
        <w:ind w:left="0" w:leftChars="0" w:firstLine="420" w:firstLineChars="200"/>
        <w:jc w:val="left"/>
        <w:textAlignment w:val="auto"/>
        <w:rPr>
          <w:rFonts w:hint="eastAsia"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 采购文件获取方式：供应商须把填写完整的报名登记表及本磋商公告第二项供应商资格要求中需提供加盖单位公章的相关资料扫描件按序排版为PDF格式文件，发送至以下邮箱：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shd w:val="clear" w:color="auto" w:fill="FFFFFF"/>
          <w:lang w:val="en-US" w:eastAsia="zh-CN" w:bidi="ar-SA"/>
        </w:rPr>
        <w:t>934027204</w:t>
      </w:r>
      <w:r>
        <w:rPr>
          <w:rFonts w:hint="eastAsia" w:ascii="宋体" w:hAnsi="宋体" w:eastAsia="宋体" w:cs="宋体"/>
          <w:color w:val="auto"/>
          <w:kern w:val="0"/>
          <w:sz w:val="21"/>
          <w:szCs w:val="21"/>
          <w:shd w:val="clear" w:color="auto" w:fill="FFFFFF"/>
          <w:lang w:val="en-US" w:eastAsia="zh-CN" w:bidi="ar-SA"/>
        </w:rPr>
        <w:t>@qq.com,并标明XX公司XX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14:paraId="2BF4F091">
      <w:pPr>
        <w:keepNext w:val="0"/>
        <w:keepLines w:val="0"/>
        <w:pageBreakBefore w:val="0"/>
        <w:widowControl/>
        <w:kinsoku/>
        <w:wordWrap w:val="0"/>
        <w:overflowPunct/>
        <w:topLinePunct w:val="0"/>
        <w:autoSpaceDE/>
        <w:autoSpaceDN/>
        <w:bidi w:val="0"/>
        <w:snapToGrid w:val="0"/>
        <w:spacing w:before="0" w:beforeAutospacing="0" w:after="0" w:afterAutospacing="0" w:line="324" w:lineRule="auto"/>
        <w:ind w:left="420" w:leftChars="200"/>
        <w:jc w:val="left"/>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 报名登记表：请从附件中下载。</w:t>
      </w:r>
    </w:p>
    <w:p w14:paraId="2B7675CF">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lang w:val="en-US" w:eastAsia="zh-CN" w:bidi="ar-SA"/>
        </w:rPr>
      </w:pPr>
      <w:bookmarkStart w:id="13" w:name="_Toc15135"/>
      <w:bookmarkStart w:id="14" w:name="_Toc10738"/>
      <w:bookmarkStart w:id="15" w:name="_Toc15111"/>
      <w:bookmarkStart w:id="16" w:name="_Toc25869"/>
      <w:bookmarkStart w:id="17" w:name="_Toc27480"/>
      <w:r>
        <w:rPr>
          <w:rFonts w:hint="eastAsia" w:ascii="宋体" w:hAnsi="宋体" w:eastAsia="宋体" w:cs="宋体"/>
          <w:b/>
          <w:bCs/>
          <w:color w:val="auto"/>
          <w:kern w:val="2"/>
          <w:sz w:val="21"/>
          <w:szCs w:val="21"/>
          <w:shd w:val="clear" w:color="auto" w:fill="FFFFFF"/>
          <w:lang w:val="en-US" w:eastAsia="zh-CN" w:bidi="ar-SA"/>
        </w:rPr>
        <w:t>四、磋商截止时间及地点</w:t>
      </w:r>
      <w:bookmarkEnd w:id="13"/>
      <w:bookmarkEnd w:id="14"/>
      <w:bookmarkEnd w:id="15"/>
      <w:bookmarkEnd w:id="16"/>
      <w:bookmarkEnd w:id="17"/>
    </w:p>
    <w:p w14:paraId="7D796AB0">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 时间：</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3D8C4AFF">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 地点：</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51BE6284">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五、磋商时间及地点</w:t>
      </w:r>
    </w:p>
    <w:p w14:paraId="52FEDFC3">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 时间：</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4454039B">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 地点：</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3D456729">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lang w:val="en-US" w:eastAsia="zh-CN" w:bidi="ar-SA"/>
        </w:rPr>
      </w:pPr>
      <w:bookmarkStart w:id="18" w:name="_Toc29784"/>
      <w:bookmarkStart w:id="19" w:name="_Toc20287"/>
      <w:bookmarkStart w:id="20" w:name="_Toc30918"/>
      <w:bookmarkStart w:id="21" w:name="_Toc6523"/>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14:paraId="33415FE6">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公告在《驻马店市中心医院》院内网</w:t>
      </w:r>
      <w:r>
        <w:rPr>
          <w:rFonts w:hint="eastAsia" w:ascii="宋体" w:hAnsi="宋体" w:eastAsia="宋体" w:cs="宋体"/>
          <w:color w:val="auto"/>
          <w:sz w:val="21"/>
          <w:szCs w:val="21"/>
          <w:shd w:val="clear" w:color="auto" w:fill="auto"/>
        </w:rPr>
        <w:t>上发布</w:t>
      </w:r>
      <w:r>
        <w:rPr>
          <w:rFonts w:hint="eastAsia" w:ascii="宋体" w:hAnsi="宋体" w:eastAsia="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sz w:val="21"/>
          <w:szCs w:val="21"/>
          <w:highlight w:val="none"/>
          <w:shd w:val="clear" w:color="auto" w:fill="auto"/>
          <w:lang w:eastAsia="zh-CN"/>
        </w:rPr>
        <w:t>公告期限为</w:t>
      </w:r>
      <w:r>
        <w:rPr>
          <w:rFonts w:hint="eastAsia" w:ascii="宋体" w:hAnsi="宋体" w:eastAsia="宋体" w:cs="宋体"/>
          <w:color w:val="auto"/>
          <w:sz w:val="21"/>
          <w:szCs w:val="21"/>
          <w:highlight w:val="none"/>
          <w:shd w:val="clear" w:color="auto" w:fill="auto"/>
          <w:lang w:val="en-US" w:eastAsia="zh-CN"/>
        </w:rPr>
        <w:t>三</w:t>
      </w:r>
      <w:r>
        <w:rPr>
          <w:rFonts w:hint="eastAsia" w:ascii="宋体" w:hAnsi="宋体" w:eastAsia="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14:paraId="5E12EA47">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highlight w:val="none"/>
          <w:lang w:val="en-US" w:eastAsia="zh-CN" w:bidi="ar-SA"/>
        </w:rPr>
      </w:pPr>
      <w:bookmarkStart w:id="24" w:name="_Toc24274"/>
      <w:bookmarkStart w:id="25" w:name="_Toc27370"/>
      <w:bookmarkStart w:id="26" w:name="_Toc31928"/>
      <w:bookmarkStart w:id="27" w:name="_Toc16291"/>
      <w:bookmarkStart w:id="28" w:name="_Toc3604"/>
      <w:r>
        <w:rPr>
          <w:rFonts w:hint="eastAsia" w:ascii="宋体" w:hAnsi="宋体" w:eastAsia="宋体" w:cs="宋体"/>
          <w:b/>
          <w:bCs/>
          <w:color w:val="auto"/>
          <w:kern w:val="2"/>
          <w:sz w:val="21"/>
          <w:szCs w:val="21"/>
          <w:shd w:val="clear" w:color="auto" w:fill="FFFFFF"/>
          <w:lang w:val="en-US" w:eastAsia="zh-CN" w:bidi="ar-SA"/>
        </w:rPr>
        <w:t>七、</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383CBB74">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1.采购人：驻马店市中心医院</w:t>
      </w:r>
    </w:p>
    <w:p w14:paraId="3E0B2CDE">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地址：驻马店市中华大道747号</w:t>
      </w:r>
    </w:p>
    <w:p w14:paraId="0AB06BE6">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联系人：陈先生</w:t>
      </w:r>
    </w:p>
    <w:p w14:paraId="4E82977F">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电话：0396-2726379</w:t>
      </w:r>
    </w:p>
    <w:p w14:paraId="7F789960">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2.采购代理机构：河南省伟信招标管理咨询有限公司 </w:t>
      </w:r>
    </w:p>
    <w:p w14:paraId="25DA575C">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地址：郑州市郑东新区东风南路与创业路交叉口绿地中心北塔16楼</w:t>
      </w:r>
    </w:p>
    <w:p w14:paraId="5680C86A">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联系人：陈先生</w:t>
      </w:r>
    </w:p>
    <w:p w14:paraId="2A68762F">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联系方式：18838148020</w:t>
      </w:r>
    </w:p>
    <w:p w14:paraId="321DEE42">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3.监督部门：驻马店市中心医院纪检监察室</w:t>
      </w:r>
    </w:p>
    <w:p w14:paraId="541BACC1">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highlight w:val="none"/>
          <w:lang w:val="en-US" w:eastAsia="zh-CN"/>
        </w:rPr>
      </w:pPr>
      <w:r>
        <w:rPr>
          <w:rFonts w:hint="eastAsia" w:ascii="宋体" w:hAnsi="宋体" w:eastAsia="宋体" w:cs="宋体"/>
          <w:color w:val="auto"/>
          <w:kern w:val="0"/>
          <w:sz w:val="21"/>
          <w:szCs w:val="21"/>
          <w:highlight w:val="none"/>
          <w:shd w:val="clear" w:color="auto" w:fill="FFFFFF"/>
          <w:lang w:val="en-US" w:eastAsia="zh-CN" w:bidi="ar-SA"/>
        </w:rPr>
        <w:t>监督电话：0396-2726678</w:t>
      </w:r>
    </w:p>
    <w:p w14:paraId="189E5960">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right"/>
        <w:textAlignment w:val="auto"/>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highlight w:val="none"/>
          <w:shd w:val="clear" w:color="auto" w:fill="FFFFFF"/>
          <w:lang w:val="en-US" w:eastAsia="zh-CN" w:bidi="ar-SA"/>
        </w:rPr>
        <w:t>驻马</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店市中心医院采购科</w:t>
      </w:r>
    </w:p>
    <w:p w14:paraId="2B5979AB">
      <w:pPr>
        <w:pStyle w:val="30"/>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center"/>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                                                    </w:t>
      </w:r>
      <w:r>
        <w:rPr>
          <w:rFonts w:hint="eastAsia" w:ascii="宋体" w:hAnsi="宋体" w:eastAsia="宋体" w:cs="宋体"/>
          <w:color w:val="auto"/>
          <w:kern w:val="0"/>
          <w:sz w:val="21"/>
          <w:szCs w:val="21"/>
          <w:highlight w:val="none"/>
          <w:shd w:val="clear" w:color="auto" w:fill="FFFFFF"/>
          <w:lang w:val="en-US" w:eastAsia="zh-CN" w:bidi="ar-SA"/>
        </w:rPr>
        <w:t xml:space="preserve">     </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202</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年</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月</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17</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日</w:t>
      </w:r>
    </w:p>
    <w:p w14:paraId="1C0E0222">
      <w:pPr>
        <w:rPr>
          <w:rFonts w:hint="eastAsia" w:ascii="宋体" w:hAnsi="宋体" w:eastAsia="宋体" w:cs="宋体"/>
          <w:b/>
          <w:color w:val="auto"/>
          <w:sz w:val="32"/>
          <w:szCs w:val="32"/>
          <w:highlight w:val="none"/>
        </w:rPr>
      </w:pPr>
      <w:bookmarkStart w:id="29" w:name="_Toc23793"/>
      <w:bookmarkStart w:id="30" w:name="_Toc29890"/>
      <w:r>
        <w:rPr>
          <w:rFonts w:hint="eastAsia" w:ascii="宋体" w:hAnsi="宋体" w:eastAsia="宋体" w:cs="宋体"/>
          <w:b/>
          <w:color w:val="auto"/>
          <w:sz w:val="32"/>
          <w:szCs w:val="32"/>
          <w:highlight w:val="none"/>
        </w:rPr>
        <w:br w:type="page"/>
      </w:r>
    </w:p>
    <w:p w14:paraId="32464726">
      <w:pPr>
        <w:widowControl/>
        <w:spacing w:line="360" w:lineRule="auto"/>
        <w:ind w:firstLine="643" w:firstLineChars="200"/>
        <w:jc w:val="center"/>
        <w:outlineLvl w:val="0"/>
        <w:rPr>
          <w:rFonts w:hint="eastAsia" w:ascii="宋体" w:hAnsi="宋体" w:eastAsia="宋体" w:cs="宋体"/>
          <w:b/>
          <w:color w:val="auto"/>
          <w:sz w:val="32"/>
          <w:szCs w:val="32"/>
          <w:highlight w:val="none"/>
        </w:rPr>
      </w:pPr>
      <w:bookmarkStart w:id="31" w:name="_Toc19124"/>
      <w:r>
        <w:rPr>
          <w:rFonts w:hint="eastAsia" w:ascii="宋体" w:hAnsi="宋体" w:eastAsia="宋体" w:cs="宋体"/>
          <w:b/>
          <w:color w:val="auto"/>
          <w:sz w:val="32"/>
          <w:szCs w:val="32"/>
          <w:highlight w:val="none"/>
        </w:rPr>
        <w:t xml:space="preserve">第二章  </w:t>
      </w:r>
      <w:r>
        <w:rPr>
          <w:rFonts w:hint="eastAsia" w:ascii="宋体" w:hAnsi="宋体" w:eastAsia="宋体" w:cs="宋体"/>
          <w:b/>
          <w:color w:val="auto"/>
          <w:sz w:val="32"/>
          <w:szCs w:val="32"/>
          <w:highlight w:val="none"/>
          <w:lang w:eastAsia="zh-CN"/>
        </w:rPr>
        <w:t>采购</w:t>
      </w:r>
      <w:r>
        <w:rPr>
          <w:rFonts w:hint="eastAsia" w:ascii="宋体" w:hAnsi="宋体" w:eastAsia="宋体" w:cs="宋体"/>
          <w:b/>
          <w:color w:val="auto"/>
          <w:sz w:val="32"/>
          <w:szCs w:val="32"/>
          <w:highlight w:val="none"/>
        </w:rPr>
        <w:t>需求</w:t>
      </w:r>
      <w:bookmarkEnd w:id="31"/>
      <w:bookmarkStart w:id="32" w:name="_Toc23610"/>
      <w:bookmarkStart w:id="33" w:name="_Toc9989"/>
      <w:bookmarkStart w:id="34" w:name="_Toc31536"/>
    </w:p>
    <w:bookmarkEnd w:id="29"/>
    <w:bookmarkEnd w:id="30"/>
    <w:bookmarkEnd w:id="32"/>
    <w:bookmarkEnd w:id="33"/>
    <w:bookmarkEnd w:id="34"/>
    <w:p w14:paraId="3052BC61">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b/>
          <w:bCs/>
          <w:i w:val="0"/>
          <w:iCs/>
          <w:color w:val="auto"/>
          <w:sz w:val="21"/>
          <w:szCs w:val="21"/>
          <w:highlight w:val="none"/>
          <w:u w:val="none"/>
          <w:lang w:val="en-US" w:eastAsia="zh-CN"/>
        </w:rPr>
        <w:t>一、项目名称：</w:t>
      </w:r>
      <w:r>
        <w:rPr>
          <w:rFonts w:hint="eastAsia" w:ascii="宋体" w:hAnsi="宋体" w:cs="宋体"/>
          <w:b w:val="0"/>
          <w:bCs w:val="0"/>
          <w:i w:val="0"/>
          <w:iCs/>
          <w:color w:val="auto"/>
          <w:sz w:val="21"/>
          <w:szCs w:val="21"/>
          <w:highlight w:val="none"/>
          <w:u w:val="none"/>
          <w:lang w:val="en-US" w:eastAsia="zh-CN"/>
        </w:rPr>
        <w:t>驻马店市中心医院2025年监护除颤类、血压计类、理疗类、医用灯泡类常用配件招标项目（二次）</w:t>
      </w:r>
    </w:p>
    <w:p w14:paraId="774013EF">
      <w:pPr>
        <w:pStyle w:val="14"/>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bCs/>
          <w:color w:val="auto"/>
          <w:kern w:val="2"/>
          <w:sz w:val="21"/>
          <w:szCs w:val="24"/>
          <w:highlight w:val="none"/>
          <w:lang w:val="en-US" w:eastAsia="zh-CN" w:bidi="ar-SA"/>
        </w:rPr>
      </w:pPr>
      <w:r>
        <w:rPr>
          <w:rFonts w:hint="eastAsia" w:ascii="宋体" w:hAnsi="宋体" w:eastAsia="宋体" w:cs="宋体"/>
          <w:b/>
          <w:bCs/>
          <w:color w:val="auto"/>
          <w:kern w:val="2"/>
          <w:sz w:val="21"/>
          <w:szCs w:val="24"/>
          <w:highlight w:val="none"/>
          <w:lang w:val="en-US" w:eastAsia="zh-CN" w:bidi="ar-SA"/>
        </w:rPr>
        <w:t>二、采购标的清单：</w:t>
      </w:r>
    </w:p>
    <w:tbl>
      <w:tblPr>
        <w:tblStyle w:val="34"/>
        <w:tblW w:w="9539" w:type="dxa"/>
        <w:tblInd w:w="-3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5"/>
        <w:gridCol w:w="870"/>
        <w:gridCol w:w="1767"/>
        <w:gridCol w:w="755"/>
        <w:gridCol w:w="856"/>
        <w:gridCol w:w="1351"/>
        <w:gridCol w:w="927"/>
        <w:gridCol w:w="1109"/>
        <w:gridCol w:w="1109"/>
      </w:tblGrid>
      <w:tr w14:paraId="2D3F9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Align w:val="center"/>
          </w:tcPr>
          <w:p w14:paraId="175E6ACA">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lang w:val="en-US" w:eastAsia="zh-CN"/>
              </w:rPr>
              <w:t>包号</w:t>
            </w:r>
          </w:p>
        </w:tc>
        <w:tc>
          <w:tcPr>
            <w:tcW w:w="870" w:type="dxa"/>
            <w:vAlign w:val="center"/>
          </w:tcPr>
          <w:p w14:paraId="4B2C4F94">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序号</w:t>
            </w:r>
          </w:p>
        </w:tc>
        <w:tc>
          <w:tcPr>
            <w:tcW w:w="1767" w:type="dxa"/>
            <w:vAlign w:val="center"/>
          </w:tcPr>
          <w:p w14:paraId="145C837D">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标的名称</w:t>
            </w:r>
          </w:p>
        </w:tc>
        <w:tc>
          <w:tcPr>
            <w:tcW w:w="755" w:type="dxa"/>
            <w:vAlign w:val="center"/>
          </w:tcPr>
          <w:p w14:paraId="1D62EE5B">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lang w:val="en-US" w:eastAsia="zh-CN"/>
              </w:rPr>
              <w:t>单位</w:t>
            </w:r>
          </w:p>
        </w:tc>
        <w:tc>
          <w:tcPr>
            <w:tcW w:w="856" w:type="dxa"/>
            <w:vAlign w:val="center"/>
          </w:tcPr>
          <w:p w14:paraId="0DE368DC">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数量</w:t>
            </w:r>
          </w:p>
        </w:tc>
        <w:tc>
          <w:tcPr>
            <w:tcW w:w="1351" w:type="dxa"/>
            <w:vAlign w:val="center"/>
          </w:tcPr>
          <w:p w14:paraId="6F104C75">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资金</w:t>
            </w:r>
          </w:p>
          <w:p w14:paraId="0FD8BD10">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b/>
                <w:bCs/>
                <w:sz w:val="21"/>
                <w:szCs w:val="21"/>
              </w:rPr>
              <w:t>预算</w:t>
            </w:r>
          </w:p>
        </w:tc>
        <w:tc>
          <w:tcPr>
            <w:tcW w:w="927" w:type="dxa"/>
            <w:vAlign w:val="center"/>
          </w:tcPr>
          <w:p w14:paraId="724AEECB">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资金</w:t>
            </w:r>
          </w:p>
          <w:p w14:paraId="439C6EC6">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lang w:val="en-US" w:eastAsia="zh-CN"/>
              </w:rPr>
              <w:t>性质</w:t>
            </w:r>
          </w:p>
        </w:tc>
        <w:tc>
          <w:tcPr>
            <w:tcW w:w="1109" w:type="dxa"/>
            <w:vAlign w:val="center"/>
          </w:tcPr>
          <w:p w14:paraId="7E3BF20E">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国产/</w:t>
            </w:r>
          </w:p>
          <w:p w14:paraId="53E83DD2">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lang w:val="en-US" w:eastAsia="zh-CN"/>
              </w:rPr>
              <w:t>进口</w:t>
            </w:r>
          </w:p>
        </w:tc>
        <w:tc>
          <w:tcPr>
            <w:tcW w:w="1109" w:type="dxa"/>
            <w:vAlign w:val="center"/>
          </w:tcPr>
          <w:p w14:paraId="102DFC37">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质保期</w:t>
            </w:r>
          </w:p>
        </w:tc>
      </w:tr>
      <w:tr w14:paraId="2D576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Merge w:val="restart"/>
            <w:vAlign w:val="center"/>
          </w:tcPr>
          <w:p w14:paraId="5173BB9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vertAlign w:val="baseline"/>
                <w:lang w:val="en-US" w:eastAsia="zh-CN"/>
              </w:rPr>
              <w:t>1</w:t>
            </w:r>
          </w:p>
        </w:tc>
        <w:tc>
          <w:tcPr>
            <w:tcW w:w="870" w:type="dxa"/>
            <w:vAlign w:val="center"/>
          </w:tcPr>
          <w:p w14:paraId="080D8EA1">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767" w:type="dxa"/>
            <w:vAlign w:val="center"/>
          </w:tcPr>
          <w:p w14:paraId="2B198BA2">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监护除颤类配件</w:t>
            </w:r>
          </w:p>
        </w:tc>
        <w:tc>
          <w:tcPr>
            <w:tcW w:w="755" w:type="dxa"/>
            <w:vAlign w:val="center"/>
          </w:tcPr>
          <w:p w14:paraId="5772DCE4">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批</w:t>
            </w:r>
          </w:p>
        </w:tc>
        <w:tc>
          <w:tcPr>
            <w:tcW w:w="856" w:type="dxa"/>
            <w:vAlign w:val="center"/>
          </w:tcPr>
          <w:p w14:paraId="3850E06D">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351" w:type="dxa"/>
            <w:vAlign w:val="center"/>
          </w:tcPr>
          <w:p w14:paraId="02488C48">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19.5</w:t>
            </w:r>
            <w:r>
              <w:rPr>
                <w:rFonts w:hint="eastAsia" w:ascii="宋体" w:hAnsi="宋体" w:cs="宋体"/>
                <w:kern w:val="2"/>
                <w:sz w:val="21"/>
                <w:szCs w:val="21"/>
                <w:vertAlign w:val="baseline"/>
                <w:lang w:val="en-US" w:eastAsia="zh-CN" w:bidi="ar-SA"/>
              </w:rPr>
              <w:t>万元</w:t>
            </w:r>
          </w:p>
        </w:tc>
        <w:tc>
          <w:tcPr>
            <w:tcW w:w="927" w:type="dxa"/>
            <w:vAlign w:val="center"/>
          </w:tcPr>
          <w:p w14:paraId="04CFA0D2">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自筹</w:t>
            </w:r>
          </w:p>
        </w:tc>
        <w:tc>
          <w:tcPr>
            <w:tcW w:w="1109" w:type="dxa"/>
            <w:vAlign w:val="center"/>
          </w:tcPr>
          <w:p w14:paraId="4DAEB4AE">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国产</w:t>
            </w:r>
          </w:p>
        </w:tc>
        <w:tc>
          <w:tcPr>
            <w:tcW w:w="1109" w:type="dxa"/>
            <w:vMerge w:val="restart"/>
            <w:vAlign w:val="center"/>
          </w:tcPr>
          <w:p w14:paraId="098C40E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一年</w:t>
            </w:r>
          </w:p>
        </w:tc>
      </w:tr>
      <w:tr w14:paraId="6AF2E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Merge w:val="continue"/>
            <w:vAlign w:val="center"/>
          </w:tcPr>
          <w:p w14:paraId="47BCDA2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p>
        </w:tc>
        <w:tc>
          <w:tcPr>
            <w:tcW w:w="870" w:type="dxa"/>
            <w:vAlign w:val="center"/>
          </w:tcPr>
          <w:p w14:paraId="08BF8E47">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767" w:type="dxa"/>
            <w:vAlign w:val="center"/>
          </w:tcPr>
          <w:p w14:paraId="23860BB3">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血压计类配件</w:t>
            </w:r>
          </w:p>
        </w:tc>
        <w:tc>
          <w:tcPr>
            <w:tcW w:w="755" w:type="dxa"/>
            <w:vAlign w:val="center"/>
          </w:tcPr>
          <w:p w14:paraId="0C3862E4">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批</w:t>
            </w:r>
          </w:p>
        </w:tc>
        <w:tc>
          <w:tcPr>
            <w:tcW w:w="856" w:type="dxa"/>
            <w:vAlign w:val="center"/>
          </w:tcPr>
          <w:p w14:paraId="4EDF50A8">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351" w:type="dxa"/>
            <w:vAlign w:val="center"/>
          </w:tcPr>
          <w:p w14:paraId="37394596">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1.5</w:t>
            </w:r>
            <w:r>
              <w:rPr>
                <w:rFonts w:hint="eastAsia" w:ascii="宋体" w:hAnsi="宋体" w:cs="宋体"/>
                <w:kern w:val="2"/>
                <w:sz w:val="21"/>
                <w:szCs w:val="21"/>
                <w:vertAlign w:val="baseline"/>
                <w:lang w:val="en-US" w:eastAsia="zh-CN" w:bidi="ar-SA"/>
              </w:rPr>
              <w:t>万元</w:t>
            </w:r>
          </w:p>
        </w:tc>
        <w:tc>
          <w:tcPr>
            <w:tcW w:w="927" w:type="dxa"/>
            <w:vAlign w:val="center"/>
          </w:tcPr>
          <w:p w14:paraId="214FA091">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自筹</w:t>
            </w:r>
          </w:p>
        </w:tc>
        <w:tc>
          <w:tcPr>
            <w:tcW w:w="1109" w:type="dxa"/>
            <w:vAlign w:val="center"/>
          </w:tcPr>
          <w:p w14:paraId="3F4BC4EC">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国产</w:t>
            </w:r>
          </w:p>
        </w:tc>
        <w:tc>
          <w:tcPr>
            <w:tcW w:w="1109" w:type="dxa"/>
            <w:vMerge w:val="continue"/>
            <w:vAlign w:val="center"/>
          </w:tcPr>
          <w:p w14:paraId="1312CA5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宋体" w:hAnsi="宋体" w:eastAsia="宋体" w:cs="宋体"/>
                <w:kern w:val="2"/>
                <w:sz w:val="21"/>
                <w:szCs w:val="21"/>
                <w:lang w:val="en-US" w:eastAsia="zh-CN" w:bidi="ar-SA"/>
              </w:rPr>
            </w:pPr>
          </w:p>
        </w:tc>
      </w:tr>
      <w:tr w14:paraId="174AF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Merge w:val="continue"/>
            <w:vAlign w:val="center"/>
          </w:tcPr>
          <w:p w14:paraId="71D6BB5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p>
        </w:tc>
        <w:tc>
          <w:tcPr>
            <w:tcW w:w="870" w:type="dxa"/>
            <w:vAlign w:val="center"/>
          </w:tcPr>
          <w:p w14:paraId="5ABD7C44">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767" w:type="dxa"/>
            <w:vAlign w:val="center"/>
          </w:tcPr>
          <w:p w14:paraId="131BA43E">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理疗类配件</w:t>
            </w:r>
          </w:p>
        </w:tc>
        <w:tc>
          <w:tcPr>
            <w:tcW w:w="755" w:type="dxa"/>
            <w:vAlign w:val="center"/>
          </w:tcPr>
          <w:p w14:paraId="0C1692CF">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批</w:t>
            </w:r>
          </w:p>
        </w:tc>
        <w:tc>
          <w:tcPr>
            <w:tcW w:w="856" w:type="dxa"/>
            <w:vAlign w:val="center"/>
          </w:tcPr>
          <w:p w14:paraId="5E20562A">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351" w:type="dxa"/>
            <w:vAlign w:val="center"/>
          </w:tcPr>
          <w:p w14:paraId="003E7AEA">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1.5</w:t>
            </w:r>
            <w:r>
              <w:rPr>
                <w:rFonts w:hint="eastAsia" w:ascii="宋体" w:hAnsi="宋体" w:cs="宋体"/>
                <w:kern w:val="2"/>
                <w:sz w:val="21"/>
                <w:szCs w:val="21"/>
                <w:vertAlign w:val="baseline"/>
                <w:lang w:val="en-US" w:eastAsia="zh-CN" w:bidi="ar-SA"/>
              </w:rPr>
              <w:t>万元</w:t>
            </w:r>
          </w:p>
        </w:tc>
        <w:tc>
          <w:tcPr>
            <w:tcW w:w="927" w:type="dxa"/>
            <w:vAlign w:val="center"/>
          </w:tcPr>
          <w:p w14:paraId="0EA500C9">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自筹</w:t>
            </w:r>
          </w:p>
        </w:tc>
        <w:tc>
          <w:tcPr>
            <w:tcW w:w="1109" w:type="dxa"/>
            <w:vAlign w:val="center"/>
          </w:tcPr>
          <w:p w14:paraId="278CE7B7">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国产</w:t>
            </w:r>
          </w:p>
        </w:tc>
        <w:tc>
          <w:tcPr>
            <w:tcW w:w="1109" w:type="dxa"/>
            <w:vMerge w:val="continue"/>
            <w:vAlign w:val="center"/>
          </w:tcPr>
          <w:p w14:paraId="0B2134A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宋体" w:hAnsi="宋体" w:eastAsia="宋体" w:cs="宋体"/>
                <w:kern w:val="2"/>
                <w:sz w:val="21"/>
                <w:szCs w:val="21"/>
                <w:lang w:val="en-US" w:eastAsia="zh-CN" w:bidi="ar-SA"/>
              </w:rPr>
            </w:pPr>
          </w:p>
        </w:tc>
      </w:tr>
      <w:tr w14:paraId="309D3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Merge w:val="continue"/>
            <w:vAlign w:val="center"/>
          </w:tcPr>
          <w:p w14:paraId="09D24D82">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p>
        </w:tc>
        <w:tc>
          <w:tcPr>
            <w:tcW w:w="870" w:type="dxa"/>
            <w:vAlign w:val="center"/>
          </w:tcPr>
          <w:p w14:paraId="011770D9">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1767" w:type="dxa"/>
            <w:vAlign w:val="center"/>
          </w:tcPr>
          <w:p w14:paraId="7F1F9886">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医用灯泡类</w:t>
            </w:r>
          </w:p>
        </w:tc>
        <w:tc>
          <w:tcPr>
            <w:tcW w:w="755" w:type="dxa"/>
            <w:vAlign w:val="center"/>
          </w:tcPr>
          <w:p w14:paraId="779D3698">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批</w:t>
            </w:r>
          </w:p>
        </w:tc>
        <w:tc>
          <w:tcPr>
            <w:tcW w:w="856" w:type="dxa"/>
            <w:vAlign w:val="center"/>
          </w:tcPr>
          <w:p w14:paraId="2D427A37">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351" w:type="dxa"/>
            <w:vAlign w:val="center"/>
          </w:tcPr>
          <w:p w14:paraId="1A9FCF8D">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1.5</w:t>
            </w:r>
            <w:r>
              <w:rPr>
                <w:rFonts w:hint="eastAsia" w:ascii="宋体" w:hAnsi="宋体" w:cs="宋体"/>
                <w:kern w:val="2"/>
                <w:sz w:val="21"/>
                <w:szCs w:val="21"/>
                <w:vertAlign w:val="baseline"/>
                <w:lang w:val="en-US" w:eastAsia="zh-CN" w:bidi="ar-SA"/>
              </w:rPr>
              <w:t>万元</w:t>
            </w:r>
          </w:p>
        </w:tc>
        <w:tc>
          <w:tcPr>
            <w:tcW w:w="927" w:type="dxa"/>
            <w:vAlign w:val="center"/>
          </w:tcPr>
          <w:p w14:paraId="0F5BB624">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自筹</w:t>
            </w:r>
          </w:p>
        </w:tc>
        <w:tc>
          <w:tcPr>
            <w:tcW w:w="1109" w:type="dxa"/>
            <w:vAlign w:val="center"/>
          </w:tcPr>
          <w:p w14:paraId="0C7917FC">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国产</w:t>
            </w:r>
          </w:p>
        </w:tc>
        <w:tc>
          <w:tcPr>
            <w:tcW w:w="1109" w:type="dxa"/>
            <w:vMerge w:val="continue"/>
            <w:vAlign w:val="center"/>
          </w:tcPr>
          <w:p w14:paraId="78362022">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宋体" w:hAnsi="宋体" w:eastAsia="宋体" w:cs="宋体"/>
                <w:kern w:val="2"/>
                <w:sz w:val="21"/>
                <w:szCs w:val="21"/>
                <w:lang w:val="en-US" w:eastAsia="zh-CN" w:bidi="ar-SA"/>
              </w:rPr>
            </w:pPr>
          </w:p>
        </w:tc>
      </w:tr>
      <w:tr w14:paraId="4C181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dxa"/>
            <w:gridSpan w:val="2"/>
            <w:vAlign w:val="center"/>
          </w:tcPr>
          <w:p w14:paraId="787549DF">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b/>
                <w:bCs/>
                <w:sz w:val="21"/>
                <w:szCs w:val="21"/>
                <w:vertAlign w:val="baseline"/>
                <w:lang w:val="en-US" w:eastAsia="zh-CN"/>
              </w:rPr>
              <w:t>合计</w:t>
            </w:r>
          </w:p>
        </w:tc>
        <w:tc>
          <w:tcPr>
            <w:tcW w:w="1767" w:type="dxa"/>
            <w:vAlign w:val="center"/>
          </w:tcPr>
          <w:p w14:paraId="3A35BE9D">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rPr>
            </w:pPr>
          </w:p>
        </w:tc>
        <w:tc>
          <w:tcPr>
            <w:tcW w:w="755" w:type="dxa"/>
            <w:vAlign w:val="center"/>
          </w:tcPr>
          <w:p w14:paraId="1AA321D9">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p>
        </w:tc>
        <w:tc>
          <w:tcPr>
            <w:tcW w:w="856" w:type="dxa"/>
            <w:vAlign w:val="center"/>
          </w:tcPr>
          <w:p w14:paraId="13A63B05">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p>
        </w:tc>
        <w:tc>
          <w:tcPr>
            <w:tcW w:w="1351" w:type="dxa"/>
            <w:vAlign w:val="center"/>
          </w:tcPr>
          <w:p w14:paraId="0C83F757">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bCs/>
                <w:color w:val="000000"/>
                <w:kern w:val="2"/>
                <w:sz w:val="21"/>
                <w:szCs w:val="21"/>
                <w:lang w:val="en-US" w:eastAsia="zh-CN" w:bidi="ar-SA"/>
              </w:rPr>
            </w:pPr>
            <w:r>
              <w:rPr>
                <w:rFonts w:hint="eastAsia" w:ascii="宋体" w:hAnsi="宋体" w:cs="宋体"/>
                <w:kern w:val="2"/>
                <w:sz w:val="21"/>
                <w:szCs w:val="21"/>
                <w:vertAlign w:val="baseline"/>
                <w:lang w:val="en-US" w:eastAsia="zh-CN" w:bidi="ar-SA"/>
              </w:rPr>
              <w:t>24万元</w:t>
            </w:r>
          </w:p>
        </w:tc>
        <w:tc>
          <w:tcPr>
            <w:tcW w:w="927" w:type="dxa"/>
            <w:vAlign w:val="center"/>
          </w:tcPr>
          <w:p w14:paraId="03BE995F">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rPr>
            </w:pPr>
          </w:p>
        </w:tc>
        <w:tc>
          <w:tcPr>
            <w:tcW w:w="1109" w:type="dxa"/>
            <w:vAlign w:val="center"/>
          </w:tcPr>
          <w:p w14:paraId="721EA82B">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lang w:val="en-US" w:eastAsia="zh-CN" w:bidi="ar-SA"/>
              </w:rPr>
            </w:pPr>
          </w:p>
        </w:tc>
        <w:tc>
          <w:tcPr>
            <w:tcW w:w="1109" w:type="dxa"/>
            <w:vAlign w:val="center"/>
          </w:tcPr>
          <w:p w14:paraId="0DC65C22">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lang w:val="en-US" w:eastAsia="zh-CN" w:bidi="ar-SA"/>
              </w:rPr>
            </w:pPr>
          </w:p>
        </w:tc>
      </w:tr>
      <w:tr w14:paraId="79C6C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1665" w:type="dxa"/>
            <w:gridSpan w:val="2"/>
            <w:vAlign w:val="center"/>
          </w:tcPr>
          <w:p w14:paraId="270BA30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b/>
                <w:bCs/>
                <w:sz w:val="21"/>
                <w:szCs w:val="21"/>
                <w:vertAlign w:val="baseline"/>
                <w:lang w:val="en-US" w:eastAsia="zh-CN"/>
              </w:rPr>
              <w:t>备注</w:t>
            </w:r>
          </w:p>
        </w:tc>
        <w:tc>
          <w:tcPr>
            <w:tcW w:w="7874" w:type="dxa"/>
            <w:gridSpan w:val="7"/>
            <w:vAlign w:val="center"/>
          </w:tcPr>
          <w:p w14:paraId="55576399">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360" w:lineRule="auto"/>
              <w:ind w:left="0" w:leftChars="0"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招</w:t>
            </w:r>
            <w:r>
              <w:rPr>
                <w:rFonts w:hint="eastAsia" w:ascii="宋体" w:hAnsi="宋体" w:cs="宋体"/>
                <w:kern w:val="2"/>
                <w:sz w:val="21"/>
                <w:szCs w:val="21"/>
                <w:lang w:val="en-US" w:eastAsia="zh-CN" w:bidi="ar-SA"/>
              </w:rPr>
              <w:t>1</w:t>
            </w:r>
            <w:r>
              <w:rPr>
                <w:rFonts w:hint="eastAsia" w:ascii="宋体" w:hAnsi="宋体" w:eastAsia="宋体" w:cs="宋体"/>
                <w:kern w:val="2"/>
                <w:sz w:val="21"/>
                <w:szCs w:val="21"/>
                <w:lang w:val="en-US" w:eastAsia="zh-CN" w:bidi="ar-SA"/>
              </w:rPr>
              <w:t>家供应商</w:t>
            </w:r>
            <w:r>
              <w:rPr>
                <w:rFonts w:hint="eastAsia" w:ascii="宋体" w:hAnsi="宋体" w:cs="宋体"/>
                <w:kern w:val="2"/>
                <w:sz w:val="21"/>
                <w:szCs w:val="21"/>
                <w:lang w:val="en-US" w:eastAsia="zh-CN" w:bidi="ar-SA"/>
              </w:rPr>
              <w:t>。</w:t>
            </w:r>
            <w:r>
              <w:rPr>
                <w:rFonts w:hint="eastAsia" w:ascii="宋体" w:hAnsi="宋体" w:eastAsia="宋体" w:cs="宋体"/>
                <w:kern w:val="2"/>
                <w:sz w:val="21"/>
                <w:szCs w:val="21"/>
                <w:lang w:val="en-US" w:eastAsia="zh-CN" w:bidi="ar-SA"/>
              </w:rPr>
              <w:t>年预算</w:t>
            </w:r>
            <w:r>
              <w:rPr>
                <w:rFonts w:hint="eastAsia" w:ascii="宋体" w:hAnsi="宋体" w:cs="宋体"/>
                <w:kern w:val="2"/>
                <w:sz w:val="21"/>
                <w:szCs w:val="21"/>
                <w:lang w:val="en-US" w:eastAsia="zh-CN" w:bidi="ar-SA"/>
              </w:rPr>
              <w:t>24万元</w:t>
            </w:r>
            <w:r>
              <w:rPr>
                <w:rFonts w:hint="eastAsia" w:ascii="宋体" w:hAnsi="宋体" w:eastAsia="宋体" w:cs="宋体"/>
                <w:kern w:val="2"/>
                <w:sz w:val="21"/>
                <w:szCs w:val="21"/>
                <w:lang w:val="en-US" w:eastAsia="zh-CN" w:bidi="ar-SA"/>
              </w:rPr>
              <w:t>，费用据实结算</w:t>
            </w:r>
            <w:r>
              <w:rPr>
                <w:rFonts w:hint="eastAsia" w:ascii="宋体" w:hAnsi="宋体" w:cs="宋体"/>
                <w:kern w:val="2"/>
                <w:sz w:val="21"/>
                <w:szCs w:val="21"/>
                <w:lang w:val="en-US" w:eastAsia="zh-CN" w:bidi="ar-SA"/>
              </w:rPr>
              <w:t>。</w:t>
            </w:r>
          </w:p>
        </w:tc>
      </w:tr>
    </w:tbl>
    <w:p w14:paraId="3DE641AF">
      <w:pPr>
        <w:pStyle w:val="23"/>
        <w:tabs>
          <w:tab w:val="left" w:pos="568"/>
        </w:tabs>
        <w:spacing w:line="240" w:lineRule="auto"/>
        <w:jc w:val="both"/>
        <w:rPr>
          <w:rFonts w:hint="eastAsia" w:ascii="宋体" w:hAnsi="宋体" w:eastAsia="宋体" w:cs="宋体"/>
          <w:b/>
          <w:bCs/>
          <w:color w:val="auto"/>
          <w:spacing w:val="28"/>
          <w:sz w:val="21"/>
          <w:szCs w:val="21"/>
          <w:highlight w:val="none"/>
        </w:rPr>
      </w:pPr>
    </w:p>
    <w:p w14:paraId="10E84755">
      <w:pPr>
        <w:keepNext w:val="0"/>
        <w:keepLines w:val="0"/>
        <w:pageBreakBefore w:val="0"/>
        <w:numPr>
          <w:ilvl w:val="0"/>
          <w:numId w:val="1"/>
        </w:numPr>
        <w:kinsoku/>
        <w:wordWrap/>
        <w:overflowPunct/>
        <w:topLinePunct w:val="0"/>
        <w:autoSpaceDE/>
        <w:autoSpaceDN/>
        <w:bidi w:val="0"/>
        <w:adjustRightInd/>
        <w:snapToGrid/>
        <w:spacing w:line="240" w:lineRule="auto"/>
        <w:rPr>
          <w:rFonts w:hint="eastAsia" w:ascii="宋体" w:hAnsi="宋体" w:eastAsia="宋体" w:cs="宋体"/>
          <w:b/>
          <w:bCs/>
          <w:color w:val="auto"/>
          <w:kern w:val="2"/>
          <w:sz w:val="21"/>
          <w:szCs w:val="24"/>
          <w:highlight w:val="none"/>
          <w:lang w:val="en-US" w:eastAsia="zh-CN" w:bidi="ar-SA"/>
        </w:rPr>
      </w:pPr>
      <w:r>
        <w:rPr>
          <w:rFonts w:hint="eastAsia" w:ascii="宋体" w:hAnsi="宋体" w:eastAsia="宋体" w:cs="宋体"/>
          <w:b/>
          <w:bCs/>
          <w:color w:val="auto"/>
          <w:kern w:val="2"/>
          <w:sz w:val="21"/>
          <w:szCs w:val="24"/>
          <w:highlight w:val="none"/>
          <w:lang w:val="en-US" w:eastAsia="zh-CN" w:bidi="ar-SA"/>
        </w:rPr>
        <w:t>技术要求：</w:t>
      </w:r>
    </w:p>
    <w:tbl>
      <w:tblPr>
        <w:tblStyle w:val="33"/>
        <w:tblW w:w="942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531"/>
        <w:gridCol w:w="1888"/>
        <w:gridCol w:w="2750"/>
        <w:gridCol w:w="1193"/>
        <w:gridCol w:w="713"/>
        <w:gridCol w:w="725"/>
        <w:gridCol w:w="1625"/>
      </w:tblGrid>
      <w:tr w14:paraId="31050C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425" w:type="dxa"/>
            <w:gridSpan w:val="7"/>
            <w:tcBorders>
              <w:tl2br w:val="nil"/>
              <w:tr2bl w:val="nil"/>
            </w:tcBorders>
            <w:shd w:val="clear" w:color="auto" w:fill="auto"/>
            <w:noWrap/>
            <w:vAlign w:val="center"/>
          </w:tcPr>
          <w:p w14:paraId="19A723C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color w:val="auto"/>
                <w:kern w:val="0"/>
                <w:szCs w:val="21"/>
                <w:highlight w:val="none"/>
                <w:lang w:val="en-US" w:eastAsia="zh-CN"/>
              </w:rPr>
            </w:pPr>
            <w:r>
              <w:rPr>
                <w:rFonts w:hint="eastAsia" w:ascii="宋体" w:hAnsi="宋体" w:eastAsia="宋体" w:cs="宋体"/>
                <w:b/>
                <w:bCs/>
                <w:sz w:val="21"/>
                <w:szCs w:val="21"/>
                <w:lang w:val="en-US" w:eastAsia="zh-CN"/>
              </w:rPr>
              <w:t>采购清单</w:t>
            </w:r>
          </w:p>
        </w:tc>
      </w:tr>
      <w:tr w14:paraId="1600F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noWrap/>
            <w:vAlign w:val="center"/>
          </w:tcPr>
          <w:p w14:paraId="4821E96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序号</w:t>
            </w:r>
          </w:p>
        </w:tc>
        <w:tc>
          <w:tcPr>
            <w:tcW w:w="1888" w:type="dxa"/>
            <w:tcBorders>
              <w:tl2br w:val="nil"/>
              <w:tr2bl w:val="nil"/>
            </w:tcBorders>
            <w:shd w:val="clear" w:color="auto" w:fill="auto"/>
            <w:noWrap/>
            <w:vAlign w:val="center"/>
          </w:tcPr>
          <w:p w14:paraId="352113F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项目类别</w:t>
            </w:r>
          </w:p>
        </w:tc>
        <w:tc>
          <w:tcPr>
            <w:tcW w:w="2750" w:type="dxa"/>
            <w:tcBorders>
              <w:tl2br w:val="nil"/>
              <w:tr2bl w:val="nil"/>
            </w:tcBorders>
            <w:shd w:val="clear" w:color="auto" w:fill="auto"/>
            <w:noWrap/>
            <w:vAlign w:val="center"/>
          </w:tcPr>
          <w:p w14:paraId="21294FF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配件名称</w:t>
            </w:r>
          </w:p>
        </w:tc>
        <w:tc>
          <w:tcPr>
            <w:tcW w:w="1193" w:type="dxa"/>
            <w:tcBorders>
              <w:tl2br w:val="nil"/>
              <w:tr2bl w:val="nil"/>
            </w:tcBorders>
            <w:shd w:val="clear" w:color="auto" w:fill="auto"/>
            <w:noWrap/>
            <w:vAlign w:val="center"/>
          </w:tcPr>
          <w:p w14:paraId="331B65D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highlight w:val="none"/>
                <w:u w:val="none"/>
                <w:lang w:val="en-US" w:eastAsia="zh-CN" w:bidi="ar"/>
              </w:rPr>
              <w:t>规格型号</w:t>
            </w:r>
          </w:p>
        </w:tc>
        <w:tc>
          <w:tcPr>
            <w:tcW w:w="713" w:type="dxa"/>
            <w:tcBorders>
              <w:tl2br w:val="nil"/>
              <w:tr2bl w:val="nil"/>
            </w:tcBorders>
            <w:shd w:val="clear" w:color="auto" w:fill="auto"/>
            <w:noWrap/>
            <w:vAlign w:val="center"/>
          </w:tcPr>
          <w:p w14:paraId="185E4DF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数量</w:t>
            </w:r>
          </w:p>
        </w:tc>
        <w:tc>
          <w:tcPr>
            <w:tcW w:w="725" w:type="dxa"/>
            <w:tcBorders>
              <w:tl2br w:val="nil"/>
              <w:tr2bl w:val="nil"/>
            </w:tcBorders>
            <w:shd w:val="clear" w:color="auto" w:fill="auto"/>
            <w:noWrap/>
            <w:vAlign w:val="center"/>
          </w:tcPr>
          <w:p w14:paraId="46B9D04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625" w:type="dxa"/>
            <w:tcBorders>
              <w:tl2br w:val="nil"/>
              <w:tr2bl w:val="nil"/>
            </w:tcBorders>
            <w:shd w:val="clear" w:color="auto" w:fill="auto"/>
            <w:noWrap/>
            <w:vAlign w:val="center"/>
          </w:tcPr>
          <w:p w14:paraId="01FACFC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color w:val="auto"/>
                <w:kern w:val="0"/>
                <w:szCs w:val="21"/>
                <w:highlight w:val="none"/>
                <w:lang w:val="en-US" w:eastAsia="zh-CN"/>
              </w:rPr>
              <w:t>综合单价控制价</w:t>
            </w:r>
            <w:r>
              <w:rPr>
                <w:rFonts w:hint="eastAsia" w:ascii="宋体" w:hAnsi="宋体" w:eastAsia="宋体" w:cs="宋体"/>
                <w:b/>
                <w:bCs/>
                <w:i w:val="0"/>
                <w:iCs w:val="0"/>
                <w:color w:val="000000"/>
                <w:kern w:val="0"/>
                <w:sz w:val="21"/>
                <w:szCs w:val="21"/>
                <w:u w:val="none"/>
                <w:lang w:val="en-US" w:eastAsia="zh-CN" w:bidi="ar"/>
              </w:rPr>
              <w:t>（元）</w:t>
            </w:r>
          </w:p>
        </w:tc>
      </w:tr>
      <w:tr w14:paraId="51B7AC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77A9215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888" w:type="dxa"/>
            <w:vMerge w:val="restart"/>
            <w:tcBorders>
              <w:tl2br w:val="nil"/>
              <w:tr2bl w:val="nil"/>
            </w:tcBorders>
            <w:shd w:val="clear" w:color="auto" w:fill="auto"/>
            <w:vAlign w:val="center"/>
          </w:tcPr>
          <w:p w14:paraId="126B7E1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监护除颤类</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迈瑞(ePM、iPM、MEC、iMEC系列等）、飞利浦（GS20、G30、G30E、UT4000等)、科曼（C50、C70）、日本（上海）光电、宝莱特</w:t>
            </w:r>
            <w:r>
              <w:rPr>
                <w:rFonts w:hint="eastAsia" w:ascii="宋体" w:hAnsi="宋体" w:cs="宋体"/>
                <w:i w:val="0"/>
                <w:iCs w:val="0"/>
                <w:color w:val="000000"/>
                <w:kern w:val="0"/>
                <w:sz w:val="21"/>
                <w:szCs w:val="21"/>
                <w:u w:val="none"/>
                <w:lang w:val="en-US" w:eastAsia="zh-CN" w:bidi="ar"/>
              </w:rPr>
              <w:t>】</w:t>
            </w:r>
          </w:p>
        </w:tc>
        <w:tc>
          <w:tcPr>
            <w:tcW w:w="2750" w:type="dxa"/>
            <w:tcBorders>
              <w:tl2br w:val="nil"/>
              <w:tr2bl w:val="nil"/>
            </w:tcBorders>
            <w:shd w:val="clear" w:color="auto" w:fill="auto"/>
            <w:noWrap/>
            <w:vAlign w:val="center"/>
          </w:tcPr>
          <w:p w14:paraId="12AE3B2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监护仪袖带</w:t>
            </w:r>
          </w:p>
        </w:tc>
        <w:tc>
          <w:tcPr>
            <w:tcW w:w="1193" w:type="dxa"/>
            <w:tcBorders>
              <w:tl2br w:val="nil"/>
              <w:tr2bl w:val="nil"/>
            </w:tcBorders>
            <w:shd w:val="clear" w:color="auto" w:fill="auto"/>
            <w:noWrap/>
            <w:vAlign w:val="center"/>
          </w:tcPr>
          <w:p w14:paraId="6A4BB20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740C041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3D9C394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27FC865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27</w:t>
            </w:r>
          </w:p>
        </w:tc>
      </w:tr>
      <w:tr w14:paraId="29279E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3A4C7AB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2</w:t>
            </w:r>
          </w:p>
        </w:tc>
        <w:tc>
          <w:tcPr>
            <w:tcW w:w="1888" w:type="dxa"/>
            <w:vMerge w:val="continue"/>
            <w:tcBorders>
              <w:tl2br w:val="nil"/>
              <w:tr2bl w:val="nil"/>
            </w:tcBorders>
            <w:shd w:val="clear" w:color="auto" w:fill="auto"/>
            <w:vAlign w:val="center"/>
          </w:tcPr>
          <w:p w14:paraId="6CC04374">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202B5AA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心电导联线</w:t>
            </w:r>
          </w:p>
        </w:tc>
        <w:tc>
          <w:tcPr>
            <w:tcW w:w="1193" w:type="dxa"/>
            <w:tcBorders>
              <w:tl2br w:val="nil"/>
              <w:tr2bl w:val="nil"/>
            </w:tcBorders>
            <w:shd w:val="clear" w:color="auto" w:fill="auto"/>
            <w:noWrap/>
            <w:vAlign w:val="center"/>
          </w:tcPr>
          <w:p w14:paraId="03FAC87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078EE39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305C770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58AE982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98.4</w:t>
            </w:r>
          </w:p>
        </w:tc>
      </w:tr>
      <w:tr w14:paraId="6A1CEC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52C62E3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3</w:t>
            </w:r>
          </w:p>
        </w:tc>
        <w:tc>
          <w:tcPr>
            <w:tcW w:w="1888" w:type="dxa"/>
            <w:vMerge w:val="continue"/>
            <w:tcBorders>
              <w:tl2br w:val="nil"/>
              <w:tr2bl w:val="nil"/>
            </w:tcBorders>
            <w:shd w:val="clear" w:color="auto" w:fill="auto"/>
            <w:vAlign w:val="center"/>
          </w:tcPr>
          <w:p w14:paraId="24870F15">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274FF9B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血氧饱和度探头</w:t>
            </w:r>
          </w:p>
        </w:tc>
        <w:tc>
          <w:tcPr>
            <w:tcW w:w="1193" w:type="dxa"/>
            <w:tcBorders>
              <w:tl2br w:val="nil"/>
              <w:tr2bl w:val="nil"/>
            </w:tcBorders>
            <w:shd w:val="clear" w:color="auto" w:fill="auto"/>
            <w:noWrap/>
            <w:vAlign w:val="center"/>
          </w:tcPr>
          <w:p w14:paraId="31AED95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542E74D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07D5EC9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1DD49DF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84.28</w:t>
            </w:r>
          </w:p>
        </w:tc>
      </w:tr>
      <w:tr w14:paraId="0AA067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45B912B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4</w:t>
            </w:r>
          </w:p>
        </w:tc>
        <w:tc>
          <w:tcPr>
            <w:tcW w:w="1888" w:type="dxa"/>
            <w:vMerge w:val="continue"/>
            <w:tcBorders>
              <w:tl2br w:val="nil"/>
              <w:tr2bl w:val="nil"/>
            </w:tcBorders>
            <w:shd w:val="clear" w:color="auto" w:fill="auto"/>
            <w:vAlign w:val="center"/>
          </w:tcPr>
          <w:p w14:paraId="6C66BB12">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1E4B166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血压延长管</w:t>
            </w:r>
          </w:p>
        </w:tc>
        <w:tc>
          <w:tcPr>
            <w:tcW w:w="1193" w:type="dxa"/>
            <w:tcBorders>
              <w:tl2br w:val="nil"/>
              <w:tr2bl w:val="nil"/>
            </w:tcBorders>
            <w:shd w:val="clear" w:color="auto" w:fill="auto"/>
            <w:noWrap/>
            <w:vAlign w:val="center"/>
          </w:tcPr>
          <w:p w14:paraId="2704A36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24BC59F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104B8A6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1F89BBC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68.6</w:t>
            </w:r>
          </w:p>
        </w:tc>
      </w:tr>
      <w:tr w14:paraId="334B5F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455537A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5</w:t>
            </w:r>
          </w:p>
        </w:tc>
        <w:tc>
          <w:tcPr>
            <w:tcW w:w="1888" w:type="dxa"/>
            <w:vMerge w:val="continue"/>
            <w:tcBorders>
              <w:tl2br w:val="nil"/>
              <w:tr2bl w:val="nil"/>
            </w:tcBorders>
            <w:shd w:val="clear" w:color="auto" w:fill="auto"/>
            <w:vAlign w:val="center"/>
          </w:tcPr>
          <w:p w14:paraId="7D30BE59">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6B93C47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有创压电缆</w:t>
            </w:r>
          </w:p>
        </w:tc>
        <w:tc>
          <w:tcPr>
            <w:tcW w:w="1193" w:type="dxa"/>
            <w:tcBorders>
              <w:tl2br w:val="nil"/>
              <w:tr2bl w:val="nil"/>
            </w:tcBorders>
            <w:shd w:val="clear" w:color="auto" w:fill="auto"/>
            <w:noWrap/>
            <w:vAlign w:val="center"/>
          </w:tcPr>
          <w:p w14:paraId="0E918E6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5E22D42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170B30B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079FAD3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105.8</w:t>
            </w:r>
          </w:p>
        </w:tc>
      </w:tr>
      <w:tr w14:paraId="4F456B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77BE21E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6</w:t>
            </w:r>
          </w:p>
        </w:tc>
        <w:tc>
          <w:tcPr>
            <w:tcW w:w="1888" w:type="dxa"/>
            <w:vMerge w:val="continue"/>
            <w:tcBorders>
              <w:tl2br w:val="nil"/>
              <w:tr2bl w:val="nil"/>
            </w:tcBorders>
            <w:shd w:val="clear" w:color="auto" w:fill="auto"/>
            <w:vAlign w:val="center"/>
          </w:tcPr>
          <w:p w14:paraId="572130EA">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116CDD6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监护仪铅酸蓄电池</w:t>
            </w:r>
          </w:p>
        </w:tc>
        <w:tc>
          <w:tcPr>
            <w:tcW w:w="1193" w:type="dxa"/>
            <w:tcBorders>
              <w:tl2br w:val="nil"/>
              <w:tr2bl w:val="nil"/>
            </w:tcBorders>
            <w:shd w:val="clear" w:color="auto" w:fill="auto"/>
            <w:noWrap/>
            <w:vAlign w:val="center"/>
          </w:tcPr>
          <w:p w14:paraId="602D557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7D5E1D8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5FF3DB6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1625" w:type="dxa"/>
            <w:tcBorders>
              <w:tl2br w:val="nil"/>
              <w:tr2bl w:val="nil"/>
            </w:tcBorders>
            <w:shd w:val="clear" w:color="auto" w:fill="FFFFFF"/>
            <w:noWrap/>
            <w:vAlign w:val="center"/>
          </w:tcPr>
          <w:p w14:paraId="6D13D1E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135</w:t>
            </w:r>
          </w:p>
        </w:tc>
      </w:tr>
      <w:tr w14:paraId="25BE71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2E0FC78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7</w:t>
            </w:r>
          </w:p>
        </w:tc>
        <w:tc>
          <w:tcPr>
            <w:tcW w:w="1888" w:type="dxa"/>
            <w:vMerge w:val="continue"/>
            <w:tcBorders>
              <w:tl2br w:val="nil"/>
              <w:tr2bl w:val="nil"/>
            </w:tcBorders>
            <w:shd w:val="clear" w:color="auto" w:fill="auto"/>
            <w:vAlign w:val="center"/>
          </w:tcPr>
          <w:p w14:paraId="7F6E015B">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13AA568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监护仪锂电池</w:t>
            </w:r>
          </w:p>
        </w:tc>
        <w:tc>
          <w:tcPr>
            <w:tcW w:w="1193" w:type="dxa"/>
            <w:tcBorders>
              <w:tl2br w:val="nil"/>
              <w:tr2bl w:val="nil"/>
            </w:tcBorders>
            <w:shd w:val="clear" w:color="auto" w:fill="auto"/>
            <w:noWrap/>
            <w:vAlign w:val="center"/>
          </w:tcPr>
          <w:p w14:paraId="77FAF91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43B5E29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225F4C5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1625" w:type="dxa"/>
            <w:tcBorders>
              <w:tl2br w:val="nil"/>
              <w:tr2bl w:val="nil"/>
            </w:tcBorders>
            <w:shd w:val="clear" w:color="auto" w:fill="FFFFFF"/>
            <w:noWrap/>
            <w:vAlign w:val="center"/>
          </w:tcPr>
          <w:p w14:paraId="11D6F2A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480.2</w:t>
            </w:r>
          </w:p>
        </w:tc>
      </w:tr>
      <w:tr w14:paraId="697729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695C2AB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8</w:t>
            </w:r>
          </w:p>
        </w:tc>
        <w:tc>
          <w:tcPr>
            <w:tcW w:w="1888" w:type="dxa"/>
            <w:vMerge w:val="continue"/>
            <w:tcBorders>
              <w:tl2br w:val="nil"/>
              <w:tr2bl w:val="nil"/>
            </w:tcBorders>
            <w:shd w:val="clear" w:color="auto" w:fill="auto"/>
            <w:vAlign w:val="center"/>
          </w:tcPr>
          <w:p w14:paraId="5C6B8956">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6B8F0DF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除颤仪电池</w:t>
            </w:r>
          </w:p>
        </w:tc>
        <w:tc>
          <w:tcPr>
            <w:tcW w:w="1193" w:type="dxa"/>
            <w:tcBorders>
              <w:tl2br w:val="nil"/>
              <w:tr2bl w:val="nil"/>
            </w:tcBorders>
            <w:shd w:val="clear" w:color="auto" w:fill="auto"/>
            <w:noWrap/>
            <w:vAlign w:val="center"/>
          </w:tcPr>
          <w:p w14:paraId="4747505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1114779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027862D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1625" w:type="dxa"/>
            <w:tcBorders>
              <w:tl2br w:val="nil"/>
              <w:tr2bl w:val="nil"/>
            </w:tcBorders>
            <w:shd w:val="clear" w:color="auto" w:fill="auto"/>
            <w:noWrap/>
            <w:vAlign w:val="center"/>
          </w:tcPr>
          <w:p w14:paraId="6479551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2202.5</w:t>
            </w:r>
          </w:p>
        </w:tc>
      </w:tr>
      <w:tr w14:paraId="2AFD55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7423F34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9</w:t>
            </w:r>
          </w:p>
        </w:tc>
        <w:tc>
          <w:tcPr>
            <w:tcW w:w="1888" w:type="dxa"/>
            <w:vMerge w:val="continue"/>
            <w:tcBorders>
              <w:tl2br w:val="nil"/>
              <w:tr2bl w:val="nil"/>
            </w:tcBorders>
            <w:shd w:val="clear" w:color="auto" w:fill="auto"/>
            <w:vAlign w:val="center"/>
          </w:tcPr>
          <w:p w14:paraId="75B7FF99">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3AC4B3B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遥测导联线</w:t>
            </w:r>
          </w:p>
        </w:tc>
        <w:tc>
          <w:tcPr>
            <w:tcW w:w="1193" w:type="dxa"/>
            <w:tcBorders>
              <w:tl2br w:val="nil"/>
              <w:tr2bl w:val="nil"/>
            </w:tcBorders>
            <w:shd w:val="clear" w:color="auto" w:fill="auto"/>
            <w:noWrap/>
            <w:vAlign w:val="center"/>
          </w:tcPr>
          <w:p w14:paraId="323DA11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3A8EC1C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3A46EEA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4479FBF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235.2</w:t>
            </w:r>
          </w:p>
        </w:tc>
      </w:tr>
      <w:tr w14:paraId="4ADBF0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4D0DA9E9">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1888" w:type="dxa"/>
            <w:vMerge w:val="restart"/>
            <w:tcBorders>
              <w:tl2br w:val="nil"/>
              <w:tr2bl w:val="nil"/>
            </w:tcBorders>
            <w:shd w:val="clear" w:color="auto" w:fill="auto"/>
            <w:vAlign w:val="center"/>
          </w:tcPr>
          <w:p w14:paraId="0A8DBF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血压计类（鱼跃、欧姆龙）</w:t>
            </w:r>
          </w:p>
        </w:tc>
        <w:tc>
          <w:tcPr>
            <w:tcW w:w="2750" w:type="dxa"/>
            <w:tcBorders>
              <w:tl2br w:val="nil"/>
              <w:tr2bl w:val="nil"/>
            </w:tcBorders>
            <w:shd w:val="clear" w:color="auto" w:fill="auto"/>
            <w:noWrap/>
            <w:vAlign w:val="center"/>
          </w:tcPr>
          <w:p w14:paraId="2AB258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电子血压计袖带</w:t>
            </w:r>
          </w:p>
        </w:tc>
        <w:tc>
          <w:tcPr>
            <w:tcW w:w="1193" w:type="dxa"/>
            <w:tcBorders>
              <w:tl2br w:val="nil"/>
              <w:tr2bl w:val="nil"/>
            </w:tcBorders>
            <w:shd w:val="clear" w:color="auto" w:fill="auto"/>
            <w:noWrap/>
            <w:vAlign w:val="center"/>
          </w:tcPr>
          <w:p w14:paraId="7A215A2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706F14D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446F20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490A221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176.4</w:t>
            </w:r>
          </w:p>
        </w:tc>
      </w:tr>
      <w:tr w14:paraId="4F04AC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22AE1691">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11</w:t>
            </w:r>
          </w:p>
        </w:tc>
        <w:tc>
          <w:tcPr>
            <w:tcW w:w="1888" w:type="dxa"/>
            <w:vMerge w:val="continue"/>
            <w:tcBorders>
              <w:tl2br w:val="nil"/>
              <w:tr2bl w:val="nil"/>
            </w:tcBorders>
            <w:shd w:val="clear" w:color="auto" w:fill="auto"/>
            <w:vAlign w:val="center"/>
          </w:tcPr>
          <w:p w14:paraId="3D3226D2">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4B32B31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电子血压计电池</w:t>
            </w:r>
          </w:p>
        </w:tc>
        <w:tc>
          <w:tcPr>
            <w:tcW w:w="1193" w:type="dxa"/>
            <w:tcBorders>
              <w:tl2br w:val="nil"/>
              <w:tr2bl w:val="nil"/>
            </w:tcBorders>
            <w:shd w:val="clear" w:color="auto" w:fill="auto"/>
            <w:noWrap/>
            <w:vAlign w:val="center"/>
          </w:tcPr>
          <w:p w14:paraId="0F0503A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316AC22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36B3D7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69E081A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127.4</w:t>
            </w:r>
          </w:p>
        </w:tc>
      </w:tr>
      <w:tr w14:paraId="3B7DD9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366EE29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12</w:t>
            </w:r>
          </w:p>
        </w:tc>
        <w:tc>
          <w:tcPr>
            <w:tcW w:w="1888" w:type="dxa"/>
            <w:vMerge w:val="continue"/>
            <w:tcBorders>
              <w:tl2br w:val="nil"/>
              <w:tr2bl w:val="nil"/>
            </w:tcBorders>
            <w:shd w:val="clear" w:color="auto" w:fill="auto"/>
            <w:vAlign w:val="center"/>
          </w:tcPr>
          <w:p w14:paraId="500FC4FE">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0D97E57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台式电子血压计袖套</w:t>
            </w:r>
          </w:p>
        </w:tc>
        <w:tc>
          <w:tcPr>
            <w:tcW w:w="1193" w:type="dxa"/>
            <w:tcBorders>
              <w:tl2br w:val="nil"/>
              <w:tr2bl w:val="nil"/>
            </w:tcBorders>
            <w:shd w:val="clear" w:color="auto" w:fill="auto"/>
            <w:noWrap/>
            <w:vAlign w:val="center"/>
          </w:tcPr>
          <w:p w14:paraId="6C7D95F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4DDFA79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62B8AC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39080E7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244</w:t>
            </w:r>
          </w:p>
        </w:tc>
      </w:tr>
      <w:tr w14:paraId="616AFD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197721A1">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13</w:t>
            </w:r>
          </w:p>
        </w:tc>
        <w:tc>
          <w:tcPr>
            <w:tcW w:w="1888" w:type="dxa"/>
            <w:vMerge w:val="continue"/>
            <w:tcBorders>
              <w:tl2br w:val="nil"/>
              <w:tr2bl w:val="nil"/>
            </w:tcBorders>
            <w:shd w:val="clear" w:color="auto" w:fill="auto"/>
            <w:vAlign w:val="center"/>
          </w:tcPr>
          <w:p w14:paraId="4CE81FBF">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6EA54C3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电子血压计充电器</w:t>
            </w:r>
          </w:p>
        </w:tc>
        <w:tc>
          <w:tcPr>
            <w:tcW w:w="1193" w:type="dxa"/>
            <w:tcBorders>
              <w:tl2br w:val="nil"/>
              <w:tr2bl w:val="nil"/>
            </w:tcBorders>
            <w:shd w:val="clear" w:color="auto" w:fill="auto"/>
            <w:noWrap/>
            <w:vAlign w:val="center"/>
          </w:tcPr>
          <w:p w14:paraId="13490CF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5027B5E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0BFD55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23802E3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59.2</w:t>
            </w:r>
          </w:p>
        </w:tc>
      </w:tr>
      <w:tr w14:paraId="427D3B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3A8A8CEB">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c>
          <w:tcPr>
            <w:tcW w:w="1888" w:type="dxa"/>
            <w:vMerge w:val="restart"/>
            <w:tcBorders>
              <w:tl2br w:val="nil"/>
              <w:tr2bl w:val="nil"/>
            </w:tcBorders>
            <w:shd w:val="clear" w:color="auto" w:fill="auto"/>
            <w:vAlign w:val="center"/>
          </w:tcPr>
          <w:p w14:paraId="06E622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理疗类（物理降温仪、脑功能治疗仪、吞咽神经盒肌肉电刺激仪）</w:t>
            </w:r>
          </w:p>
        </w:tc>
        <w:tc>
          <w:tcPr>
            <w:tcW w:w="2750" w:type="dxa"/>
            <w:tcBorders>
              <w:tl2br w:val="nil"/>
              <w:tr2bl w:val="nil"/>
            </w:tcBorders>
            <w:shd w:val="clear" w:color="auto" w:fill="auto"/>
            <w:noWrap/>
            <w:vAlign w:val="center"/>
          </w:tcPr>
          <w:p w14:paraId="3E5D599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物理降温仪温度传感器</w:t>
            </w:r>
          </w:p>
        </w:tc>
        <w:tc>
          <w:tcPr>
            <w:tcW w:w="1193" w:type="dxa"/>
            <w:tcBorders>
              <w:tl2br w:val="nil"/>
              <w:tr2bl w:val="nil"/>
            </w:tcBorders>
            <w:shd w:val="clear" w:color="auto" w:fill="auto"/>
            <w:noWrap/>
            <w:vAlign w:val="center"/>
          </w:tcPr>
          <w:p w14:paraId="06F9CA8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559979C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7BCD7A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FFFFFF"/>
            <w:noWrap/>
            <w:vAlign w:val="center"/>
          </w:tcPr>
          <w:p w14:paraId="3CD0783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254.8</w:t>
            </w:r>
          </w:p>
        </w:tc>
      </w:tr>
      <w:tr w14:paraId="050D19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2B620D2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15</w:t>
            </w:r>
          </w:p>
        </w:tc>
        <w:tc>
          <w:tcPr>
            <w:tcW w:w="1888" w:type="dxa"/>
            <w:vMerge w:val="continue"/>
            <w:tcBorders>
              <w:tl2br w:val="nil"/>
              <w:tr2bl w:val="nil"/>
            </w:tcBorders>
            <w:shd w:val="clear" w:color="auto" w:fill="auto"/>
            <w:vAlign w:val="center"/>
          </w:tcPr>
          <w:p w14:paraId="5D763ABD">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12666FC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软冰帽</w:t>
            </w:r>
          </w:p>
        </w:tc>
        <w:tc>
          <w:tcPr>
            <w:tcW w:w="1193" w:type="dxa"/>
            <w:tcBorders>
              <w:tl2br w:val="nil"/>
              <w:tr2bl w:val="nil"/>
            </w:tcBorders>
            <w:shd w:val="clear" w:color="auto" w:fill="auto"/>
            <w:noWrap/>
            <w:vAlign w:val="center"/>
          </w:tcPr>
          <w:p w14:paraId="4A4DBD1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34C7D22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396552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2D787134">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862</w:t>
            </w:r>
          </w:p>
        </w:tc>
      </w:tr>
      <w:tr w14:paraId="1C9040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1FD2943B">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16</w:t>
            </w:r>
          </w:p>
        </w:tc>
        <w:tc>
          <w:tcPr>
            <w:tcW w:w="1888" w:type="dxa"/>
            <w:vMerge w:val="continue"/>
            <w:tcBorders>
              <w:tl2br w:val="nil"/>
              <w:tr2bl w:val="nil"/>
            </w:tcBorders>
            <w:shd w:val="clear" w:color="auto" w:fill="auto"/>
            <w:vAlign w:val="center"/>
          </w:tcPr>
          <w:p w14:paraId="592C72C0">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596240A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冰毯</w:t>
            </w:r>
          </w:p>
        </w:tc>
        <w:tc>
          <w:tcPr>
            <w:tcW w:w="1193" w:type="dxa"/>
            <w:tcBorders>
              <w:tl2br w:val="nil"/>
              <w:tr2bl w:val="nil"/>
            </w:tcBorders>
            <w:shd w:val="clear" w:color="auto" w:fill="auto"/>
            <w:noWrap/>
            <w:vAlign w:val="center"/>
          </w:tcPr>
          <w:p w14:paraId="72E1F7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7264C08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75DD81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6D79D1A6">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1391.6</w:t>
            </w:r>
          </w:p>
        </w:tc>
      </w:tr>
      <w:tr w14:paraId="420F29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6CE77391">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17</w:t>
            </w:r>
          </w:p>
        </w:tc>
        <w:tc>
          <w:tcPr>
            <w:tcW w:w="1888" w:type="dxa"/>
            <w:vMerge w:val="continue"/>
            <w:tcBorders>
              <w:tl2br w:val="nil"/>
              <w:tr2bl w:val="nil"/>
            </w:tcBorders>
            <w:shd w:val="clear" w:color="auto" w:fill="auto"/>
            <w:vAlign w:val="center"/>
          </w:tcPr>
          <w:p w14:paraId="23E08A3A">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7738EE7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电源线(两孔、三孔)</w:t>
            </w:r>
          </w:p>
        </w:tc>
        <w:tc>
          <w:tcPr>
            <w:tcW w:w="1193" w:type="dxa"/>
            <w:tcBorders>
              <w:tl2br w:val="nil"/>
              <w:tr2bl w:val="nil"/>
            </w:tcBorders>
            <w:shd w:val="clear" w:color="auto" w:fill="auto"/>
            <w:noWrap/>
            <w:vAlign w:val="center"/>
          </w:tcPr>
          <w:p w14:paraId="1949E63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2760333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173EF7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7C613F2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18.9</w:t>
            </w:r>
          </w:p>
        </w:tc>
      </w:tr>
      <w:tr w14:paraId="198C41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3CDBF1A1">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18</w:t>
            </w:r>
          </w:p>
        </w:tc>
        <w:tc>
          <w:tcPr>
            <w:tcW w:w="1888" w:type="dxa"/>
            <w:vMerge w:val="continue"/>
            <w:tcBorders>
              <w:tl2br w:val="nil"/>
              <w:tr2bl w:val="nil"/>
            </w:tcBorders>
            <w:shd w:val="clear" w:color="auto" w:fill="auto"/>
            <w:vAlign w:val="center"/>
          </w:tcPr>
          <w:p w14:paraId="1E0B68A5">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322704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脑功能治疗仪导联线</w:t>
            </w:r>
          </w:p>
        </w:tc>
        <w:tc>
          <w:tcPr>
            <w:tcW w:w="1193" w:type="dxa"/>
            <w:tcBorders>
              <w:tl2br w:val="nil"/>
              <w:tr2bl w:val="nil"/>
            </w:tcBorders>
            <w:shd w:val="clear" w:color="auto" w:fill="auto"/>
            <w:noWrap/>
            <w:vAlign w:val="center"/>
          </w:tcPr>
          <w:p w14:paraId="5392AED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206C73A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7EF24F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32E74DC4">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249.9</w:t>
            </w:r>
          </w:p>
        </w:tc>
      </w:tr>
      <w:tr w14:paraId="008710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5B76956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19</w:t>
            </w:r>
          </w:p>
        </w:tc>
        <w:tc>
          <w:tcPr>
            <w:tcW w:w="1888" w:type="dxa"/>
            <w:vMerge w:val="continue"/>
            <w:tcBorders>
              <w:tl2br w:val="nil"/>
              <w:tr2bl w:val="nil"/>
            </w:tcBorders>
            <w:shd w:val="clear" w:color="auto" w:fill="auto"/>
            <w:vAlign w:val="center"/>
          </w:tcPr>
          <w:p w14:paraId="3CDA799C">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51BB87B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吞咽语言治疗仪电极线</w:t>
            </w:r>
          </w:p>
        </w:tc>
        <w:tc>
          <w:tcPr>
            <w:tcW w:w="1193" w:type="dxa"/>
            <w:tcBorders>
              <w:tl2br w:val="nil"/>
              <w:tr2bl w:val="nil"/>
            </w:tcBorders>
            <w:shd w:val="clear" w:color="auto" w:fill="auto"/>
            <w:noWrap/>
            <w:vAlign w:val="center"/>
          </w:tcPr>
          <w:p w14:paraId="79743BF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439E51D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6CD0B5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5F0332D7">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1234.8</w:t>
            </w:r>
          </w:p>
        </w:tc>
      </w:tr>
      <w:tr w14:paraId="33F648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4794B6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888" w:type="dxa"/>
            <w:vMerge w:val="continue"/>
            <w:tcBorders>
              <w:tl2br w:val="nil"/>
              <w:tr2bl w:val="nil"/>
            </w:tcBorders>
            <w:shd w:val="clear" w:color="auto" w:fill="auto"/>
            <w:vAlign w:val="center"/>
          </w:tcPr>
          <w:p w14:paraId="060AE45B">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1053341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小氧表</w:t>
            </w:r>
          </w:p>
        </w:tc>
        <w:tc>
          <w:tcPr>
            <w:tcW w:w="1193" w:type="dxa"/>
            <w:tcBorders>
              <w:tl2br w:val="nil"/>
              <w:tr2bl w:val="nil"/>
            </w:tcBorders>
            <w:shd w:val="clear" w:color="auto" w:fill="auto"/>
            <w:noWrap/>
            <w:vAlign w:val="center"/>
          </w:tcPr>
          <w:p w14:paraId="2BEBC67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5DAB504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3244A1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7CC46352">
            <w:pPr>
              <w:keepNext w:val="0"/>
              <w:keepLines w:val="0"/>
              <w:widowControl/>
              <w:suppressLineNumbers w:val="0"/>
              <w:tabs>
                <w:tab w:val="center" w:pos="780"/>
                <w:tab w:val="right" w:pos="1440"/>
              </w:tabs>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156.8</w:t>
            </w:r>
          </w:p>
        </w:tc>
      </w:tr>
      <w:tr w14:paraId="5A3CB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4782E5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888" w:type="dxa"/>
            <w:vMerge w:val="continue"/>
            <w:tcBorders>
              <w:tl2br w:val="nil"/>
              <w:tr2bl w:val="nil"/>
            </w:tcBorders>
            <w:shd w:val="clear" w:color="auto" w:fill="auto"/>
            <w:vAlign w:val="center"/>
          </w:tcPr>
          <w:p w14:paraId="4A3533E5">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42A12AF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氧桥</w:t>
            </w:r>
          </w:p>
        </w:tc>
        <w:tc>
          <w:tcPr>
            <w:tcW w:w="1193" w:type="dxa"/>
            <w:tcBorders>
              <w:tl2br w:val="nil"/>
              <w:tr2bl w:val="nil"/>
            </w:tcBorders>
            <w:shd w:val="clear" w:color="auto" w:fill="auto"/>
            <w:noWrap/>
            <w:vAlign w:val="center"/>
          </w:tcPr>
          <w:p w14:paraId="47A926C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7AE200D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75BD4C3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467BA3D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65</w:t>
            </w:r>
          </w:p>
        </w:tc>
      </w:tr>
      <w:tr w14:paraId="12C74E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749FB0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888" w:type="dxa"/>
            <w:vMerge w:val="continue"/>
            <w:tcBorders>
              <w:tl2br w:val="nil"/>
              <w:tr2bl w:val="nil"/>
            </w:tcBorders>
            <w:shd w:val="clear" w:color="auto" w:fill="auto"/>
            <w:vAlign w:val="center"/>
          </w:tcPr>
          <w:p w14:paraId="7A32CF9C">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332ADA5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磁疗帽</w:t>
            </w:r>
          </w:p>
        </w:tc>
        <w:tc>
          <w:tcPr>
            <w:tcW w:w="1193" w:type="dxa"/>
            <w:tcBorders>
              <w:tl2br w:val="nil"/>
              <w:tr2bl w:val="nil"/>
            </w:tcBorders>
            <w:shd w:val="clear" w:color="auto" w:fill="auto"/>
            <w:noWrap/>
            <w:vAlign w:val="center"/>
          </w:tcPr>
          <w:p w14:paraId="742A137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743F39B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11B813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4EE77C5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840</w:t>
            </w:r>
          </w:p>
        </w:tc>
      </w:tr>
      <w:tr w14:paraId="1996BE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7" w:hRule="atLeast"/>
        </w:trPr>
        <w:tc>
          <w:tcPr>
            <w:tcW w:w="531" w:type="dxa"/>
            <w:tcBorders>
              <w:tl2br w:val="nil"/>
              <w:tr2bl w:val="nil"/>
            </w:tcBorders>
            <w:shd w:val="clear" w:color="auto" w:fill="auto"/>
            <w:vAlign w:val="center"/>
          </w:tcPr>
          <w:p w14:paraId="5DE3ADD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eastAsia="zh-CN"/>
              </w:rPr>
            </w:pPr>
            <w:r>
              <w:rPr>
                <w:rFonts w:hint="eastAsia" w:ascii="宋体" w:hAnsi="宋体" w:eastAsia="宋体" w:cs="宋体"/>
                <w:i w:val="0"/>
                <w:iCs w:val="0"/>
                <w:color w:val="000000"/>
                <w:kern w:val="0"/>
                <w:sz w:val="21"/>
                <w:szCs w:val="21"/>
                <w:u w:val="none"/>
                <w:lang w:val="en-US" w:eastAsia="zh-CN" w:bidi="ar"/>
              </w:rPr>
              <w:t>23</w:t>
            </w:r>
          </w:p>
        </w:tc>
        <w:tc>
          <w:tcPr>
            <w:tcW w:w="1888" w:type="dxa"/>
            <w:vMerge w:val="continue"/>
            <w:tcBorders>
              <w:tl2br w:val="nil"/>
              <w:tr2bl w:val="nil"/>
            </w:tcBorders>
            <w:shd w:val="clear" w:color="auto" w:fill="auto"/>
            <w:vAlign w:val="center"/>
          </w:tcPr>
          <w:p w14:paraId="02FD62B4">
            <w:pPr>
              <w:jc w:val="center"/>
              <w:rPr>
                <w:rFonts w:hint="eastAsia" w:ascii="宋体" w:hAnsi="宋体" w:eastAsia="宋体" w:cs="宋体"/>
                <w:i w:val="0"/>
                <w:iCs w:val="0"/>
                <w:color w:val="000000"/>
                <w:sz w:val="21"/>
                <w:szCs w:val="21"/>
                <w:u w:val="none"/>
                <w:lang w:eastAsia="zh-CN"/>
              </w:rPr>
            </w:pPr>
            <w:r>
              <w:rPr>
                <w:rFonts w:hint="eastAsia" w:ascii="宋体" w:hAnsi="宋体" w:eastAsia="宋体" w:cs="宋体"/>
                <w:i w:val="0"/>
                <w:iCs w:val="0"/>
                <w:color w:val="000000"/>
                <w:sz w:val="21"/>
                <w:szCs w:val="21"/>
                <w:u w:val="none"/>
                <w:lang w:eastAsia="zh-CN"/>
              </w:rPr>
              <w:t xml:space="preserve"> </w:t>
            </w:r>
          </w:p>
        </w:tc>
        <w:tc>
          <w:tcPr>
            <w:tcW w:w="2750" w:type="dxa"/>
            <w:tcBorders>
              <w:tl2br w:val="nil"/>
              <w:tr2bl w:val="nil"/>
            </w:tcBorders>
            <w:shd w:val="clear" w:color="auto" w:fill="auto"/>
            <w:noWrap/>
            <w:vAlign w:val="center"/>
          </w:tcPr>
          <w:p w14:paraId="5843A10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红外线接种环灭菌器加热体</w:t>
            </w:r>
          </w:p>
        </w:tc>
        <w:tc>
          <w:tcPr>
            <w:tcW w:w="1193" w:type="dxa"/>
            <w:tcBorders>
              <w:tl2br w:val="nil"/>
              <w:tr2bl w:val="nil"/>
            </w:tcBorders>
            <w:shd w:val="clear" w:color="auto" w:fill="auto"/>
            <w:noWrap/>
            <w:vAlign w:val="center"/>
          </w:tcPr>
          <w:p w14:paraId="07B6C82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4EE4190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34F350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2A43CF0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607.6</w:t>
            </w:r>
          </w:p>
        </w:tc>
      </w:tr>
      <w:tr w14:paraId="716204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49834C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888" w:type="dxa"/>
            <w:vMerge w:val="continue"/>
            <w:tcBorders>
              <w:tl2br w:val="nil"/>
              <w:tr2bl w:val="nil"/>
            </w:tcBorders>
            <w:shd w:val="clear" w:color="auto" w:fill="auto"/>
            <w:vAlign w:val="center"/>
          </w:tcPr>
          <w:p w14:paraId="2B4E8114">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441DD27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脑电图导电膏（228g）</w:t>
            </w:r>
          </w:p>
        </w:tc>
        <w:tc>
          <w:tcPr>
            <w:tcW w:w="1193" w:type="dxa"/>
            <w:tcBorders>
              <w:tl2br w:val="nil"/>
              <w:tr2bl w:val="nil"/>
            </w:tcBorders>
            <w:shd w:val="clear" w:color="auto" w:fill="auto"/>
            <w:noWrap/>
            <w:vAlign w:val="center"/>
          </w:tcPr>
          <w:p w14:paraId="1B95873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228g</w:t>
            </w:r>
          </w:p>
        </w:tc>
        <w:tc>
          <w:tcPr>
            <w:tcW w:w="713" w:type="dxa"/>
            <w:tcBorders>
              <w:tl2br w:val="nil"/>
              <w:tr2bl w:val="nil"/>
            </w:tcBorders>
            <w:shd w:val="clear" w:color="auto" w:fill="auto"/>
            <w:noWrap/>
            <w:vAlign w:val="center"/>
          </w:tcPr>
          <w:p w14:paraId="61B2FB3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62F4C2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盒</w:t>
            </w:r>
          </w:p>
        </w:tc>
        <w:tc>
          <w:tcPr>
            <w:tcW w:w="1625" w:type="dxa"/>
            <w:tcBorders>
              <w:tl2br w:val="nil"/>
              <w:tr2bl w:val="nil"/>
            </w:tcBorders>
            <w:shd w:val="clear" w:color="auto" w:fill="auto"/>
            <w:noWrap/>
            <w:vAlign w:val="center"/>
          </w:tcPr>
          <w:p w14:paraId="79B3887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172.3</w:t>
            </w:r>
          </w:p>
        </w:tc>
      </w:tr>
      <w:tr w14:paraId="53DC85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noWrap/>
            <w:vAlign w:val="center"/>
          </w:tcPr>
          <w:p w14:paraId="2D4934E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c>
          <w:tcPr>
            <w:tcW w:w="1888" w:type="dxa"/>
            <w:vMerge w:val="restart"/>
            <w:tcBorders>
              <w:tl2br w:val="nil"/>
              <w:tr2bl w:val="nil"/>
            </w:tcBorders>
            <w:shd w:val="clear" w:color="auto" w:fill="auto"/>
            <w:noWrap/>
            <w:vAlign w:val="center"/>
          </w:tcPr>
          <w:p w14:paraId="0845CB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医用灯泡类</w:t>
            </w:r>
          </w:p>
        </w:tc>
        <w:tc>
          <w:tcPr>
            <w:tcW w:w="2750" w:type="dxa"/>
            <w:tcBorders>
              <w:tl2br w:val="nil"/>
              <w:tr2bl w:val="nil"/>
            </w:tcBorders>
            <w:shd w:val="clear" w:color="auto" w:fill="auto"/>
            <w:noWrap/>
            <w:vAlign w:val="center"/>
          </w:tcPr>
          <w:p w14:paraId="335F8D7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红光治疗仪灯泡100w</w:t>
            </w:r>
          </w:p>
        </w:tc>
        <w:tc>
          <w:tcPr>
            <w:tcW w:w="1193" w:type="dxa"/>
            <w:tcBorders>
              <w:tl2br w:val="nil"/>
              <w:tr2bl w:val="nil"/>
            </w:tcBorders>
            <w:shd w:val="clear" w:color="auto" w:fill="auto"/>
            <w:noWrap/>
            <w:vAlign w:val="center"/>
          </w:tcPr>
          <w:p w14:paraId="51347D6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w:t>
            </w:r>
          </w:p>
        </w:tc>
        <w:tc>
          <w:tcPr>
            <w:tcW w:w="713" w:type="dxa"/>
            <w:tcBorders>
              <w:tl2br w:val="nil"/>
              <w:tr2bl w:val="nil"/>
            </w:tcBorders>
            <w:shd w:val="clear" w:color="auto" w:fill="auto"/>
            <w:noWrap/>
            <w:vAlign w:val="center"/>
          </w:tcPr>
          <w:p w14:paraId="53327EA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13FF22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7C73BAE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56.8</w:t>
            </w:r>
          </w:p>
        </w:tc>
      </w:tr>
      <w:tr w14:paraId="2D71AE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7" w:hRule="atLeast"/>
        </w:trPr>
        <w:tc>
          <w:tcPr>
            <w:tcW w:w="531" w:type="dxa"/>
            <w:tcBorders>
              <w:tl2br w:val="nil"/>
              <w:tr2bl w:val="nil"/>
            </w:tcBorders>
            <w:shd w:val="clear" w:color="auto" w:fill="auto"/>
            <w:noWrap/>
            <w:vAlign w:val="center"/>
          </w:tcPr>
          <w:p w14:paraId="175E7A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888" w:type="dxa"/>
            <w:vMerge w:val="continue"/>
            <w:tcBorders>
              <w:tl2br w:val="nil"/>
              <w:tr2bl w:val="nil"/>
            </w:tcBorders>
            <w:shd w:val="clear" w:color="auto" w:fill="auto"/>
            <w:noWrap/>
            <w:vAlign w:val="center"/>
          </w:tcPr>
          <w:p w14:paraId="645E2580">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6B0998A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无影灯泡24v150w</w:t>
            </w:r>
          </w:p>
        </w:tc>
        <w:tc>
          <w:tcPr>
            <w:tcW w:w="1193" w:type="dxa"/>
            <w:tcBorders>
              <w:tl2br w:val="nil"/>
              <w:tr2bl w:val="nil"/>
            </w:tcBorders>
            <w:shd w:val="clear" w:color="auto" w:fill="auto"/>
            <w:noWrap/>
            <w:vAlign w:val="center"/>
          </w:tcPr>
          <w:p w14:paraId="3648139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24v150w</w:t>
            </w:r>
          </w:p>
        </w:tc>
        <w:tc>
          <w:tcPr>
            <w:tcW w:w="713" w:type="dxa"/>
            <w:tcBorders>
              <w:tl2br w:val="nil"/>
              <w:tr2bl w:val="nil"/>
            </w:tcBorders>
            <w:shd w:val="clear" w:color="auto" w:fill="auto"/>
            <w:noWrap/>
            <w:vAlign w:val="center"/>
          </w:tcPr>
          <w:p w14:paraId="6C41966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7E684D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691F49B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44.1</w:t>
            </w:r>
          </w:p>
        </w:tc>
      </w:tr>
      <w:tr w14:paraId="6423A1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noWrap/>
            <w:vAlign w:val="center"/>
          </w:tcPr>
          <w:p w14:paraId="0985E6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888" w:type="dxa"/>
            <w:vMerge w:val="continue"/>
            <w:tcBorders>
              <w:tl2br w:val="nil"/>
              <w:tr2bl w:val="nil"/>
            </w:tcBorders>
            <w:shd w:val="clear" w:color="auto" w:fill="auto"/>
            <w:noWrap/>
            <w:vAlign w:val="center"/>
          </w:tcPr>
          <w:p w14:paraId="5FA91CB4">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26298EF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带座米泡6v20w</w:t>
            </w:r>
          </w:p>
        </w:tc>
        <w:tc>
          <w:tcPr>
            <w:tcW w:w="1193" w:type="dxa"/>
            <w:tcBorders>
              <w:tl2br w:val="nil"/>
              <w:tr2bl w:val="nil"/>
            </w:tcBorders>
            <w:shd w:val="clear" w:color="auto" w:fill="auto"/>
            <w:noWrap/>
            <w:vAlign w:val="center"/>
          </w:tcPr>
          <w:p w14:paraId="17BC511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6v20w</w:t>
            </w:r>
          </w:p>
        </w:tc>
        <w:tc>
          <w:tcPr>
            <w:tcW w:w="713" w:type="dxa"/>
            <w:tcBorders>
              <w:tl2br w:val="nil"/>
              <w:tr2bl w:val="nil"/>
            </w:tcBorders>
            <w:shd w:val="clear" w:color="auto" w:fill="auto"/>
            <w:noWrap/>
            <w:vAlign w:val="center"/>
          </w:tcPr>
          <w:p w14:paraId="43F1ACD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02B97D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531F20F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98.6</w:t>
            </w:r>
          </w:p>
        </w:tc>
      </w:tr>
      <w:tr w14:paraId="0FF081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noWrap/>
            <w:vAlign w:val="center"/>
          </w:tcPr>
          <w:p w14:paraId="001A89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888" w:type="dxa"/>
            <w:vMerge w:val="continue"/>
            <w:tcBorders>
              <w:tl2br w:val="nil"/>
              <w:tr2bl w:val="nil"/>
            </w:tcBorders>
            <w:shd w:val="clear" w:color="auto" w:fill="auto"/>
            <w:noWrap/>
            <w:vAlign w:val="center"/>
          </w:tcPr>
          <w:p w14:paraId="62481274">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7CB1762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杯泡12v100w</w:t>
            </w:r>
          </w:p>
        </w:tc>
        <w:tc>
          <w:tcPr>
            <w:tcW w:w="1193" w:type="dxa"/>
            <w:tcBorders>
              <w:tl2br w:val="nil"/>
              <w:tr2bl w:val="nil"/>
            </w:tcBorders>
            <w:shd w:val="clear" w:color="auto" w:fill="auto"/>
            <w:noWrap/>
            <w:vAlign w:val="center"/>
          </w:tcPr>
          <w:p w14:paraId="736F25B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15v150w</w:t>
            </w:r>
          </w:p>
        </w:tc>
        <w:tc>
          <w:tcPr>
            <w:tcW w:w="713" w:type="dxa"/>
            <w:tcBorders>
              <w:tl2br w:val="nil"/>
              <w:tr2bl w:val="nil"/>
            </w:tcBorders>
            <w:shd w:val="clear" w:color="auto" w:fill="auto"/>
            <w:noWrap/>
            <w:vAlign w:val="center"/>
          </w:tcPr>
          <w:p w14:paraId="26621F2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605961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59FC097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63.7</w:t>
            </w:r>
          </w:p>
        </w:tc>
      </w:tr>
      <w:tr w14:paraId="5283D8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noWrap/>
            <w:vAlign w:val="center"/>
          </w:tcPr>
          <w:p w14:paraId="12CD09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888" w:type="dxa"/>
            <w:vMerge w:val="continue"/>
            <w:tcBorders>
              <w:tl2br w:val="nil"/>
              <w:tr2bl w:val="nil"/>
            </w:tcBorders>
            <w:shd w:val="clear" w:color="auto" w:fill="auto"/>
            <w:noWrap/>
            <w:vAlign w:val="center"/>
          </w:tcPr>
          <w:p w14:paraId="5737F6A4">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4B87111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杯泡15v150w</w:t>
            </w:r>
          </w:p>
        </w:tc>
        <w:tc>
          <w:tcPr>
            <w:tcW w:w="1193" w:type="dxa"/>
            <w:tcBorders>
              <w:tl2br w:val="nil"/>
              <w:tr2bl w:val="nil"/>
            </w:tcBorders>
            <w:shd w:val="clear" w:color="auto" w:fill="auto"/>
            <w:noWrap/>
            <w:vAlign w:val="center"/>
          </w:tcPr>
          <w:p w14:paraId="348710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15v150w</w:t>
            </w:r>
          </w:p>
        </w:tc>
        <w:tc>
          <w:tcPr>
            <w:tcW w:w="713" w:type="dxa"/>
            <w:tcBorders>
              <w:tl2br w:val="nil"/>
              <w:tr2bl w:val="nil"/>
            </w:tcBorders>
            <w:shd w:val="clear" w:color="auto" w:fill="auto"/>
            <w:noWrap/>
            <w:vAlign w:val="center"/>
          </w:tcPr>
          <w:p w14:paraId="4BA5152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2D0D09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2EF9B0DF">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62.5</w:t>
            </w:r>
          </w:p>
        </w:tc>
      </w:tr>
      <w:tr w14:paraId="032ACA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noWrap/>
            <w:vAlign w:val="center"/>
          </w:tcPr>
          <w:p w14:paraId="2630AD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888" w:type="dxa"/>
            <w:vMerge w:val="continue"/>
            <w:tcBorders>
              <w:tl2br w:val="nil"/>
              <w:tr2bl w:val="nil"/>
            </w:tcBorders>
            <w:shd w:val="clear" w:color="auto" w:fill="auto"/>
            <w:noWrap/>
            <w:vAlign w:val="center"/>
          </w:tcPr>
          <w:p w14:paraId="20188EEB">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0679206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米泡6v30w</w:t>
            </w:r>
          </w:p>
        </w:tc>
        <w:tc>
          <w:tcPr>
            <w:tcW w:w="1193" w:type="dxa"/>
            <w:tcBorders>
              <w:tl2br w:val="nil"/>
              <w:tr2bl w:val="nil"/>
            </w:tcBorders>
            <w:shd w:val="clear" w:color="auto" w:fill="auto"/>
            <w:noWrap/>
            <w:vAlign w:val="center"/>
          </w:tcPr>
          <w:p w14:paraId="73A1A54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6v30w</w:t>
            </w:r>
          </w:p>
        </w:tc>
        <w:tc>
          <w:tcPr>
            <w:tcW w:w="713" w:type="dxa"/>
            <w:tcBorders>
              <w:tl2br w:val="nil"/>
              <w:tr2bl w:val="nil"/>
            </w:tcBorders>
            <w:shd w:val="clear" w:color="auto" w:fill="auto"/>
            <w:noWrap/>
            <w:vAlign w:val="center"/>
          </w:tcPr>
          <w:p w14:paraId="222DAE1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62F951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18263A2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47.7</w:t>
            </w:r>
          </w:p>
        </w:tc>
      </w:tr>
      <w:tr w14:paraId="0B5FB2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noWrap/>
            <w:vAlign w:val="center"/>
          </w:tcPr>
          <w:p w14:paraId="142445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888" w:type="dxa"/>
            <w:vMerge w:val="continue"/>
            <w:tcBorders>
              <w:tl2br w:val="nil"/>
              <w:tr2bl w:val="nil"/>
            </w:tcBorders>
            <w:shd w:val="clear" w:color="auto" w:fill="auto"/>
            <w:noWrap/>
            <w:vAlign w:val="center"/>
          </w:tcPr>
          <w:p w14:paraId="59E595BB">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6F0630F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无影灯泡24v25w</w:t>
            </w:r>
          </w:p>
        </w:tc>
        <w:tc>
          <w:tcPr>
            <w:tcW w:w="1193" w:type="dxa"/>
            <w:tcBorders>
              <w:tl2br w:val="nil"/>
              <w:tr2bl w:val="nil"/>
            </w:tcBorders>
            <w:shd w:val="clear" w:color="auto" w:fill="auto"/>
            <w:noWrap/>
            <w:vAlign w:val="center"/>
          </w:tcPr>
          <w:p w14:paraId="272FDDF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24v25w</w:t>
            </w:r>
          </w:p>
        </w:tc>
        <w:tc>
          <w:tcPr>
            <w:tcW w:w="713" w:type="dxa"/>
            <w:tcBorders>
              <w:tl2br w:val="nil"/>
              <w:tr2bl w:val="nil"/>
            </w:tcBorders>
            <w:shd w:val="clear" w:color="auto" w:fill="auto"/>
            <w:noWrap/>
            <w:vAlign w:val="center"/>
          </w:tcPr>
          <w:p w14:paraId="5D7F07D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2706B1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FFFFFF"/>
            <w:noWrap/>
            <w:vAlign w:val="center"/>
          </w:tcPr>
          <w:p w14:paraId="6005E27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4.12</w:t>
            </w:r>
          </w:p>
        </w:tc>
      </w:tr>
      <w:tr w14:paraId="2738FA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425" w:type="dxa"/>
            <w:gridSpan w:val="7"/>
            <w:tcBorders>
              <w:tl2br w:val="nil"/>
              <w:tr2bl w:val="nil"/>
            </w:tcBorders>
            <w:shd w:val="clear" w:color="auto" w:fill="auto"/>
            <w:noWrap/>
            <w:vAlign w:val="center"/>
          </w:tcPr>
          <w:p w14:paraId="65FAD76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以上规格型号为“/”的根据医院实际需求进行供货。</w:t>
            </w:r>
          </w:p>
        </w:tc>
      </w:tr>
    </w:tbl>
    <w:p w14:paraId="1368EB57">
      <w:pPr>
        <w:widowControl/>
        <w:snapToGrid w:val="0"/>
        <w:spacing w:line="440" w:lineRule="exact"/>
        <w:ind w:firstLine="422" w:firstLineChars="200"/>
        <w:jc w:val="left"/>
        <w:rPr>
          <w:rFonts w:hint="eastAsia"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val="en-US" w:eastAsia="zh-CN"/>
        </w:rPr>
        <w:t>注：供应商投标报价以</w:t>
      </w:r>
      <w:r>
        <w:rPr>
          <w:rFonts w:hint="eastAsia" w:ascii="宋体" w:hAnsi="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lang w:val="en-US" w:eastAsia="zh-CN"/>
        </w:rPr>
        <w:t>清单综合单价控制价为基准价格，整体报出综合折扣率。供应商所报综合折扣率不得大于100%，否则将被作为无效响应；</w:t>
      </w:r>
    </w:p>
    <w:p w14:paraId="465D2BBF">
      <w:pPr>
        <w:numPr>
          <w:ilvl w:val="0"/>
          <w:numId w:val="0"/>
        </w:numPr>
        <w:spacing w:line="490" w:lineRule="exact"/>
        <w:ind w:firstLine="422" w:firstLineChars="200"/>
        <w:rPr>
          <w:rFonts w:hint="eastAsia" w:ascii="宋体" w:hAnsi="宋体" w:eastAsia="宋体" w:cs="宋体"/>
          <w:sz w:val="21"/>
          <w:szCs w:val="21"/>
          <w:lang w:val="en-US" w:eastAsia="zh-CN"/>
        </w:rPr>
      </w:pPr>
      <w:r>
        <w:rPr>
          <w:rFonts w:hint="eastAsia" w:ascii="宋体" w:hAnsi="宋体" w:eastAsia="宋体" w:cs="宋体"/>
          <w:b/>
          <w:bCs/>
          <w:color w:val="auto"/>
          <w:kern w:val="0"/>
          <w:szCs w:val="21"/>
          <w:highlight w:val="none"/>
          <w:lang w:val="en-US" w:eastAsia="zh-CN"/>
        </w:rPr>
        <w:t>合同价格计算方法：各单项产品合同价格=</w:t>
      </w:r>
      <w:r>
        <w:rPr>
          <w:rFonts w:hint="eastAsia" w:ascii="宋体" w:hAnsi="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lang w:val="en-US" w:eastAsia="zh-CN"/>
        </w:rPr>
        <w:t>清单对应的综合单价控制价价格×综合折扣率。举例如：综合折扣率报价为90％，清单序号1“监护仪袖带”单价控制价格为27元，则其合同价格为27元×90％=</w:t>
      </w:r>
      <w:r>
        <w:rPr>
          <w:rFonts w:hint="eastAsia" w:ascii="宋体" w:hAnsi="宋体" w:cs="宋体"/>
          <w:b/>
          <w:bCs/>
          <w:color w:val="auto"/>
          <w:kern w:val="0"/>
          <w:szCs w:val="21"/>
          <w:highlight w:val="none"/>
          <w:lang w:val="en-US" w:eastAsia="zh-CN"/>
        </w:rPr>
        <w:t>24.30</w:t>
      </w:r>
      <w:r>
        <w:rPr>
          <w:rFonts w:hint="eastAsia" w:ascii="宋体" w:hAnsi="宋体" w:eastAsia="宋体" w:cs="宋体"/>
          <w:b/>
          <w:bCs/>
          <w:color w:val="auto"/>
          <w:kern w:val="0"/>
          <w:szCs w:val="21"/>
          <w:highlight w:val="none"/>
          <w:lang w:val="en-US" w:eastAsia="zh-CN"/>
        </w:rPr>
        <w:t>元（四舍五入保留两位小数），以此类推。</w:t>
      </w:r>
    </w:p>
    <w:p w14:paraId="2EF95CED">
      <w:pPr>
        <w:jc w:val="center"/>
        <w:rPr>
          <w:rFonts w:hint="eastAsia" w:ascii="宋体" w:hAnsi="宋体" w:eastAsia="宋体" w:cs="宋体"/>
          <w:b/>
          <w:bCs/>
          <w:color w:val="auto"/>
          <w:sz w:val="30"/>
          <w:szCs w:val="30"/>
          <w:highlight w:val="none"/>
        </w:rPr>
      </w:pPr>
    </w:p>
    <w:p w14:paraId="3C987A1F">
      <w:pPr>
        <w:jc w:val="center"/>
        <w:rPr>
          <w:rFonts w:hint="eastAsia" w:ascii="宋体" w:hAnsi="宋体" w:eastAsia="宋体" w:cs="宋体"/>
          <w:b/>
          <w:bCs/>
          <w:color w:val="auto"/>
          <w:sz w:val="30"/>
          <w:szCs w:val="30"/>
          <w:highlight w:val="none"/>
        </w:rPr>
      </w:pPr>
    </w:p>
    <w:p w14:paraId="106ADFC5">
      <w:pPr>
        <w:jc w:val="center"/>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0FEC3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E0195EC">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6A337923">
            <w:pPr>
              <w:pStyle w:val="14"/>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自成交通知书发出之日起</w:t>
            </w:r>
            <w:r>
              <w:rPr>
                <w:rFonts w:hint="eastAsia" w:cs="宋体"/>
                <w:color w:val="auto"/>
                <w:sz w:val="21"/>
                <w:szCs w:val="21"/>
                <w:highlight w:val="none"/>
                <w:lang w:val="en-US" w:eastAsia="zh-CN"/>
              </w:rPr>
              <w:t>30</w:t>
            </w:r>
            <w:r>
              <w:rPr>
                <w:rFonts w:hint="eastAsia" w:ascii="宋体" w:hAnsi="宋体" w:eastAsia="宋体" w:cs="宋体"/>
                <w:color w:val="auto"/>
                <w:sz w:val="21"/>
                <w:szCs w:val="21"/>
                <w:highlight w:val="none"/>
                <w:lang w:val="en-US" w:eastAsia="zh-CN"/>
              </w:rPr>
              <w:t>日内。</w:t>
            </w:r>
          </w:p>
        </w:tc>
      </w:tr>
      <w:tr w14:paraId="399FFB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09E94F26">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77B0CCF3">
            <w:pPr>
              <w:pStyle w:val="14"/>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采购人指定地点。</w:t>
            </w:r>
          </w:p>
        </w:tc>
      </w:tr>
      <w:tr w14:paraId="15D963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01C2F15">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供货期限</w:t>
            </w:r>
          </w:p>
        </w:tc>
        <w:tc>
          <w:tcPr>
            <w:tcW w:w="7354" w:type="dxa"/>
            <w:tcBorders>
              <w:top w:val="single" w:color="auto" w:sz="4" w:space="0"/>
              <w:left w:val="single" w:color="auto" w:sz="4" w:space="0"/>
              <w:bottom w:val="single" w:color="auto" w:sz="4" w:space="0"/>
              <w:right w:val="single" w:color="auto" w:sz="4" w:space="0"/>
            </w:tcBorders>
            <w:noWrap/>
            <w:vAlign w:val="center"/>
          </w:tcPr>
          <w:p w14:paraId="25DB0019">
            <w:pPr>
              <w:pStyle w:val="14"/>
              <w:ind w:left="0" w:leftChars="0"/>
              <w:jc w:val="left"/>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一年。</w:t>
            </w:r>
          </w:p>
        </w:tc>
      </w:tr>
      <w:tr w14:paraId="66D050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89A1A7B">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质保期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62D90186">
            <w:pPr>
              <w:pStyle w:val="14"/>
              <w:ind w:left="0" w:leftChars="0"/>
              <w:jc w:val="left"/>
              <w:rPr>
                <w:rFonts w:hint="eastAsia" w:ascii="宋体" w:hAnsi="宋体" w:eastAsia="宋体" w:cs="宋体"/>
                <w:color w:val="auto"/>
                <w:kern w:val="2"/>
                <w:sz w:val="21"/>
                <w:szCs w:val="24"/>
                <w:highlight w:val="none"/>
                <w:lang w:val="en-US" w:eastAsia="zh-CN" w:bidi="ar-SA"/>
              </w:rPr>
            </w:pPr>
            <w:r>
              <w:rPr>
                <w:rFonts w:hint="eastAsia" w:cs="宋体"/>
                <w:color w:val="auto"/>
                <w:kern w:val="2"/>
                <w:sz w:val="21"/>
                <w:szCs w:val="24"/>
                <w:highlight w:val="none"/>
                <w:lang w:val="en-US" w:eastAsia="zh-CN" w:bidi="ar-SA"/>
              </w:rPr>
              <w:t>一年（质保期一年内实行三包，质保开始时间以科室领用签字时间起计算）。</w:t>
            </w:r>
          </w:p>
        </w:tc>
      </w:tr>
      <w:tr w14:paraId="5279FA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2CEB21F5">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7E284E25">
            <w:pPr>
              <w:pStyle w:val="14"/>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符合国家有关法律法规及行业标准要求。</w:t>
            </w:r>
          </w:p>
        </w:tc>
      </w:tr>
      <w:tr w14:paraId="4F9CDE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481E1749">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426DD86E">
            <w:pPr>
              <w:pStyle w:val="14"/>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以合同签订为准。</w:t>
            </w:r>
          </w:p>
        </w:tc>
      </w:tr>
      <w:tr w14:paraId="20829B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1F0F4E09">
            <w:pPr>
              <w:pStyle w:val="14"/>
              <w:ind w:left="0" w:leftChars="0"/>
              <w:jc w:val="center"/>
              <w:rPr>
                <w:rFonts w:hint="eastAsia" w:ascii="宋体" w:hAnsi="宋体" w:eastAsia="宋体" w:cs="宋体"/>
                <w:color w:val="auto"/>
                <w:sz w:val="21"/>
                <w:szCs w:val="21"/>
                <w:highlight w:val="none"/>
                <w:lang w:eastAsia="zh-CN"/>
              </w:rPr>
            </w:pPr>
            <w:r>
              <w:rPr>
                <w:rFonts w:hint="eastAsia" w:cs="宋体"/>
                <w:color w:val="auto"/>
                <w:sz w:val="21"/>
                <w:szCs w:val="21"/>
                <w:highlight w:val="none"/>
                <w:lang w:eastAsia="zh-CN"/>
              </w:rPr>
              <w:t>其他要求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43CF42CB">
            <w:pPr>
              <w:pStyle w:val="14"/>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1、供货方须保证供应货源和及时交货，按照交易习惯或者合理期限内不能按时交货时，须提前5个工作日以书面形式通知院方并协商解决。如因供货方未能按时供货的原因导致的的一切损失由供货方进行赔偿。</w:t>
            </w:r>
          </w:p>
          <w:p w14:paraId="0B00FA1D">
            <w:pPr>
              <w:pStyle w:val="14"/>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2、如供货方所提供货物的品种、型号、规格、数量和质量不符合规定或约定的，应当自接受货物的15天内向提出更换通知，如未提出异议，视为货物符合合同规定。</w:t>
            </w:r>
          </w:p>
        </w:tc>
      </w:tr>
    </w:tbl>
    <w:p w14:paraId="6C0818A0">
      <w:pPr>
        <w:pStyle w:val="23"/>
        <w:rPr>
          <w:rFonts w:hint="eastAsia" w:ascii="宋体" w:hAnsi="宋体" w:eastAsia="宋体" w:cs="宋体"/>
          <w:color w:val="auto"/>
          <w:highlight w:val="none"/>
        </w:rPr>
      </w:pPr>
    </w:p>
    <w:p w14:paraId="5CE1A355">
      <w:pPr>
        <w:keepNext w:val="0"/>
        <w:keepLines w:val="0"/>
        <w:pageBreakBefore w:val="0"/>
        <w:widowControl w:val="0"/>
        <w:kinsoku/>
        <w:wordWrap/>
        <w:overflowPunct/>
        <w:topLinePunct w:val="0"/>
        <w:autoSpaceDE/>
        <w:autoSpaceDN/>
        <w:bidi w:val="0"/>
        <w:adjustRightInd/>
        <w:snapToGrid w:val="0"/>
        <w:spacing w:before="161" w:beforeLines="50" w:line="360" w:lineRule="auto"/>
        <w:jc w:val="center"/>
        <w:textAlignment w:val="auto"/>
        <w:rPr>
          <w:rFonts w:hint="eastAsia" w:ascii="宋体" w:hAnsi="宋体" w:eastAsia="宋体" w:cs="宋体"/>
          <w:b/>
          <w:bCs/>
          <w:color w:val="auto"/>
          <w:sz w:val="30"/>
          <w:szCs w:val="30"/>
          <w:highlight w:val="none"/>
        </w:rPr>
      </w:pPr>
    </w:p>
    <w:p w14:paraId="03A1FB5F">
      <w:pPr>
        <w:keepNext w:val="0"/>
        <w:keepLines w:val="0"/>
        <w:pageBreakBefore w:val="0"/>
        <w:widowControl w:val="0"/>
        <w:kinsoku/>
        <w:wordWrap/>
        <w:overflowPunct/>
        <w:topLinePunct w:val="0"/>
        <w:autoSpaceDE/>
        <w:autoSpaceDN/>
        <w:bidi w:val="0"/>
        <w:adjustRightInd/>
        <w:snapToGrid w:val="0"/>
        <w:spacing w:before="161" w:beforeLines="50" w:line="360" w:lineRule="auto"/>
        <w:jc w:val="center"/>
        <w:textAlignment w:val="auto"/>
        <w:rPr>
          <w:rFonts w:hint="eastAsia" w:ascii="宋体" w:hAnsi="宋体" w:eastAsia="宋体" w:cs="宋体"/>
          <w:b/>
          <w:bCs/>
          <w:color w:val="auto"/>
          <w:sz w:val="30"/>
          <w:szCs w:val="30"/>
          <w:highlight w:val="none"/>
        </w:rPr>
      </w:pPr>
    </w:p>
    <w:p w14:paraId="043827F2">
      <w:pPr>
        <w:keepNext w:val="0"/>
        <w:keepLines w:val="0"/>
        <w:pageBreakBefore w:val="0"/>
        <w:widowControl w:val="0"/>
        <w:kinsoku/>
        <w:wordWrap/>
        <w:overflowPunct/>
        <w:topLinePunct w:val="0"/>
        <w:autoSpaceDE/>
        <w:autoSpaceDN/>
        <w:bidi w:val="0"/>
        <w:adjustRightInd/>
        <w:snapToGrid w:val="0"/>
        <w:spacing w:before="161" w:beforeLines="50" w:line="360" w:lineRule="auto"/>
        <w:jc w:val="center"/>
        <w:textAlignment w:val="auto"/>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00DBE4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535ACF60">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4AC5D973">
            <w:pPr>
              <w:widowControl/>
              <w:numPr>
                <w:ilvl w:val="0"/>
                <w:numId w:val="2"/>
              </w:numPr>
              <w:snapToGrid w:val="0"/>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不接受联合体投标，不允许转包和分包。</w:t>
            </w:r>
          </w:p>
          <w:p w14:paraId="373F1E51">
            <w:pPr>
              <w:widowControl/>
              <w:snapToGrid w:val="0"/>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2、授权磋商小组</w:t>
            </w:r>
            <w:r>
              <w:rPr>
                <w:rFonts w:hint="eastAsia" w:ascii="宋体" w:hAnsi="宋体" w:cs="宋体"/>
                <w:color w:val="auto"/>
                <w:highlight w:val="none"/>
                <w:lang w:val="en-US" w:eastAsia="zh-CN"/>
              </w:rPr>
              <w:t>确定一名成交供应商</w:t>
            </w:r>
            <w:r>
              <w:rPr>
                <w:rFonts w:hint="eastAsia" w:ascii="宋体" w:hAnsi="宋体" w:eastAsia="宋体" w:cs="宋体"/>
                <w:color w:val="auto"/>
                <w:highlight w:val="none"/>
                <w:lang w:val="en-US" w:eastAsia="zh-CN"/>
              </w:rPr>
              <w:t>并推荐一名成交候选供应商。</w:t>
            </w:r>
          </w:p>
          <w:p w14:paraId="06264DAC">
            <w:pPr>
              <w:widowControl/>
              <w:snapToGrid w:val="0"/>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3、供应商应根据采购文件的要求提供技术响应</w:t>
            </w:r>
            <w:r>
              <w:rPr>
                <w:rFonts w:hint="eastAsia" w:ascii="宋体" w:hAnsi="宋体" w:cs="宋体"/>
                <w:color w:val="auto"/>
                <w:highlight w:val="none"/>
                <w:lang w:val="en-US" w:eastAsia="zh-CN"/>
              </w:rPr>
              <w:t>表</w:t>
            </w:r>
            <w:r>
              <w:rPr>
                <w:rFonts w:hint="eastAsia" w:ascii="宋体" w:hAnsi="宋体" w:eastAsia="宋体" w:cs="宋体"/>
                <w:color w:val="auto"/>
                <w:highlight w:val="none"/>
                <w:lang w:val="en-US" w:eastAsia="zh-CN"/>
              </w:rPr>
              <w:t>、商务响应</w:t>
            </w:r>
            <w:r>
              <w:rPr>
                <w:rFonts w:hint="eastAsia" w:ascii="宋体" w:hAnsi="宋体" w:cs="宋体"/>
                <w:color w:val="auto"/>
                <w:highlight w:val="none"/>
                <w:lang w:val="en-US" w:eastAsia="zh-CN"/>
              </w:rPr>
              <w:t>表</w:t>
            </w:r>
            <w:r>
              <w:rPr>
                <w:rFonts w:hint="eastAsia" w:ascii="宋体" w:hAnsi="宋体" w:eastAsia="宋体" w:cs="宋体"/>
                <w:color w:val="auto"/>
                <w:highlight w:val="none"/>
                <w:lang w:val="en-US" w:eastAsia="zh-CN"/>
              </w:rPr>
              <w:t>等内容以对采购文件作出响应。</w:t>
            </w:r>
          </w:p>
          <w:p w14:paraId="5C3FEE9B">
            <w:pPr>
              <w:widowControl/>
              <w:snapToGrid w:val="0"/>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w:t>
            </w:r>
            <w:r>
              <w:rPr>
                <w:rFonts w:hint="eastAsia" w:cs="Times New Roman"/>
                <w:lang w:val="en-US" w:eastAsia="zh-CN"/>
              </w:rPr>
              <w:t>采购人使用中标人中标的货物、技术、资料、服务或其他任何一部分时，享有无偿使用权。免受第三方提出的侵犯其专利权、著作权、商标权或其它知识产权的起诉。如果第三方提出侵权指控，中标人应承担由此而引起的一切法律责任和费用。</w:t>
            </w:r>
          </w:p>
        </w:tc>
      </w:tr>
    </w:tbl>
    <w:p w14:paraId="3E3E650D">
      <w:pPr>
        <w:rPr>
          <w:rFonts w:hint="eastAsia" w:ascii="宋体" w:hAnsi="宋体" w:eastAsia="宋体" w:cs="宋体"/>
          <w:color w:val="auto"/>
          <w:highlight w:val="none"/>
        </w:rPr>
      </w:pPr>
    </w:p>
    <w:p w14:paraId="606E7B06">
      <w:pP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br w:type="page"/>
      </w:r>
    </w:p>
    <w:p w14:paraId="5850CAA7">
      <w:pPr>
        <w:jc w:val="center"/>
        <w:outlineLvl w:val="0"/>
        <w:rPr>
          <w:rFonts w:hint="eastAsia" w:ascii="宋体" w:hAnsi="宋体" w:eastAsia="宋体" w:cs="宋体"/>
          <w:b/>
          <w:bCs/>
          <w:color w:val="auto"/>
          <w:sz w:val="32"/>
          <w:szCs w:val="32"/>
          <w:highlight w:val="none"/>
        </w:rPr>
      </w:pPr>
      <w:bookmarkStart w:id="35" w:name="_Toc8501"/>
      <w:r>
        <w:rPr>
          <w:rFonts w:hint="eastAsia" w:ascii="宋体" w:hAnsi="宋体" w:eastAsia="宋体" w:cs="宋体"/>
          <w:b/>
          <w:bCs/>
          <w:color w:val="auto"/>
          <w:sz w:val="32"/>
          <w:szCs w:val="32"/>
          <w:highlight w:val="none"/>
        </w:rPr>
        <w:t xml:space="preserve">第三章  </w:t>
      </w:r>
      <w:r>
        <w:rPr>
          <w:rFonts w:hint="eastAsia" w:ascii="宋体" w:hAnsi="宋体" w:eastAsia="宋体" w:cs="宋体"/>
          <w:b/>
          <w:bCs/>
          <w:color w:val="auto"/>
          <w:sz w:val="32"/>
          <w:szCs w:val="32"/>
          <w:highlight w:val="none"/>
          <w:lang w:eastAsia="zh-CN"/>
        </w:rPr>
        <w:t>供应商</w:t>
      </w:r>
      <w:r>
        <w:rPr>
          <w:rFonts w:hint="eastAsia" w:ascii="宋体" w:hAnsi="宋体" w:eastAsia="宋体" w:cs="宋体"/>
          <w:b/>
          <w:bCs/>
          <w:color w:val="auto"/>
          <w:sz w:val="32"/>
          <w:szCs w:val="32"/>
          <w:highlight w:val="none"/>
        </w:rPr>
        <w:t>须知</w:t>
      </w:r>
      <w:bookmarkEnd w:id="35"/>
    </w:p>
    <w:p w14:paraId="6CB10D3F">
      <w:pPr>
        <w:snapToGrid w:val="0"/>
        <w:spacing w:beforeLines="50" w:line="360" w:lineRule="auto"/>
        <w:jc w:val="center"/>
        <w:outlineLvl w:val="1"/>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供应商</w:t>
      </w:r>
      <w:r>
        <w:rPr>
          <w:rFonts w:hint="eastAsia" w:ascii="宋体" w:hAnsi="宋体" w:eastAsia="宋体" w:cs="宋体"/>
          <w:color w:val="auto"/>
          <w:sz w:val="28"/>
          <w:szCs w:val="28"/>
          <w:highlight w:val="none"/>
        </w:rPr>
        <w:t>须知前附表</w:t>
      </w:r>
    </w:p>
    <w:tbl>
      <w:tblPr>
        <w:tblStyle w:val="33"/>
        <w:tblW w:w="9840" w:type="dxa"/>
        <w:jc w:val="center"/>
        <w:tblLayout w:type="fixed"/>
        <w:tblCellMar>
          <w:top w:w="0" w:type="dxa"/>
          <w:left w:w="0" w:type="dxa"/>
          <w:bottom w:w="0" w:type="dxa"/>
          <w:right w:w="0" w:type="dxa"/>
        </w:tblCellMar>
      </w:tblPr>
      <w:tblGrid>
        <w:gridCol w:w="926"/>
        <w:gridCol w:w="8914"/>
      </w:tblGrid>
      <w:tr w14:paraId="7152AC17">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B1F5D00">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341175A">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内容、要求</w:t>
            </w:r>
          </w:p>
        </w:tc>
      </w:tr>
      <w:tr w14:paraId="6874865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7B2DD48">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E351CFF">
            <w:pPr>
              <w:widowControl/>
              <w:snapToGrid w:val="0"/>
              <w:spacing w:line="440" w:lineRule="exact"/>
              <w:jc w:val="left"/>
              <w:outlineLvl w:val="0"/>
              <w:rPr>
                <w:rFonts w:hint="eastAsia" w:ascii="宋体" w:hAnsi="宋体" w:eastAsia="宋体" w:cs="宋体"/>
                <w:color w:val="auto"/>
                <w:highlight w:val="none"/>
                <w:lang w:val="en-US"/>
              </w:rPr>
            </w:pPr>
            <w:bookmarkStart w:id="36" w:name="_Toc27817"/>
            <w:bookmarkStart w:id="37" w:name="_Toc30169"/>
            <w:bookmarkStart w:id="38" w:name="_Toc9566"/>
            <w:r>
              <w:rPr>
                <w:rFonts w:hint="eastAsia" w:ascii="宋体" w:hAnsi="宋体" w:eastAsia="宋体" w:cs="宋体"/>
                <w:color w:val="auto"/>
                <w:highlight w:val="none"/>
              </w:rPr>
              <w:t>1.1项目名称：</w:t>
            </w:r>
            <w:bookmarkEnd w:id="36"/>
            <w:bookmarkEnd w:id="37"/>
            <w:bookmarkEnd w:id="38"/>
            <w:r>
              <w:rPr>
                <w:rFonts w:hint="eastAsia" w:ascii="宋体" w:hAnsi="宋体" w:cs="宋体"/>
                <w:color w:val="auto"/>
                <w:highlight w:val="none"/>
                <w:lang w:val="en-US" w:eastAsia="zh-CN"/>
              </w:rPr>
              <w:t>驻马店市中心医院2025年监护除颤类、血压计类、理疗类、医用灯泡类常用配件招标项目（二次）</w:t>
            </w:r>
          </w:p>
          <w:p w14:paraId="710A5111">
            <w:pPr>
              <w:widowControl/>
              <w:snapToGrid w:val="0"/>
              <w:spacing w:line="440" w:lineRule="exact"/>
              <w:jc w:val="left"/>
              <w:outlineLvl w:val="0"/>
              <w:rPr>
                <w:rFonts w:hint="eastAsia" w:ascii="宋体" w:hAnsi="宋体" w:eastAsia="宋体" w:cs="宋体"/>
                <w:color w:val="auto"/>
                <w:highlight w:val="none"/>
              </w:rPr>
            </w:pPr>
            <w:bookmarkStart w:id="39" w:name="_Toc28320"/>
            <w:bookmarkStart w:id="40" w:name="_Toc29400"/>
            <w:bookmarkStart w:id="41" w:name="_Toc23424"/>
            <w:r>
              <w:rPr>
                <w:rFonts w:hint="eastAsia" w:ascii="宋体" w:hAnsi="宋体" w:eastAsia="宋体" w:cs="宋体"/>
                <w:color w:val="auto"/>
                <w:highlight w:val="none"/>
              </w:rPr>
              <w:t>1.2采购人名称：</w:t>
            </w:r>
            <w:bookmarkEnd w:id="39"/>
            <w:bookmarkEnd w:id="40"/>
            <w:bookmarkEnd w:id="41"/>
            <w:r>
              <w:rPr>
                <w:rFonts w:hint="eastAsia" w:ascii="宋体" w:hAnsi="宋体" w:eastAsia="宋体" w:cs="宋体"/>
                <w:color w:val="auto"/>
                <w:highlight w:val="none"/>
              </w:rPr>
              <w:t>驻马店市中心医院</w:t>
            </w:r>
          </w:p>
          <w:p w14:paraId="0043921C">
            <w:pPr>
              <w:widowControl/>
              <w:snapToGrid w:val="0"/>
              <w:spacing w:line="440" w:lineRule="exact"/>
              <w:jc w:val="left"/>
              <w:outlineLvl w:val="0"/>
              <w:rPr>
                <w:rFonts w:hint="eastAsia" w:ascii="宋体" w:hAnsi="宋体" w:eastAsia="宋体" w:cs="宋体"/>
                <w:color w:val="auto"/>
                <w:kern w:val="2"/>
                <w:sz w:val="21"/>
                <w:szCs w:val="24"/>
                <w:highlight w:val="none"/>
                <w:lang w:val="en-US" w:eastAsia="zh-CN" w:bidi="ar-SA"/>
              </w:rPr>
            </w:pPr>
            <w:bookmarkStart w:id="42" w:name="_Toc3148"/>
            <w:bookmarkStart w:id="43" w:name="_Toc24541"/>
            <w:bookmarkStart w:id="44" w:name="_Toc26199"/>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采购范围：详</w:t>
            </w:r>
            <w:r>
              <w:rPr>
                <w:rFonts w:hint="eastAsia" w:ascii="宋体" w:hAnsi="宋体" w:eastAsia="宋体" w:cs="宋体"/>
                <w:color w:val="auto"/>
                <w:highlight w:val="none"/>
                <w:lang w:val="en-US" w:eastAsia="zh-CN"/>
              </w:rPr>
              <w:t>见第二章采购</w:t>
            </w:r>
            <w:r>
              <w:rPr>
                <w:rFonts w:hint="eastAsia" w:ascii="宋体" w:hAnsi="宋体" w:eastAsia="宋体" w:cs="宋体"/>
                <w:color w:val="auto"/>
                <w:highlight w:val="none"/>
              </w:rPr>
              <w:t>需求</w:t>
            </w:r>
            <w:bookmarkEnd w:id="42"/>
            <w:bookmarkEnd w:id="43"/>
            <w:bookmarkEnd w:id="44"/>
          </w:p>
        </w:tc>
      </w:tr>
      <w:tr w14:paraId="1A0A6AC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3B86117">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29F9D1B">
            <w:pPr>
              <w:widowControl/>
              <w:spacing w:line="44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合格</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：具备</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公告第二项规定的条件。</w:t>
            </w:r>
          </w:p>
        </w:tc>
      </w:tr>
      <w:tr w14:paraId="165CED5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4AD2EA3">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F12ABCE">
            <w:pPr>
              <w:widowControl/>
              <w:snapToGrid w:val="0"/>
              <w:spacing w:line="440" w:lineRule="exact"/>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采购预算：</w:t>
            </w:r>
            <w:r>
              <w:rPr>
                <w:rFonts w:hint="eastAsia" w:ascii="宋体" w:hAnsi="宋体" w:cs="宋体"/>
                <w:color w:val="auto"/>
                <w:highlight w:val="none"/>
                <w:lang w:val="en-US" w:eastAsia="zh-CN"/>
              </w:rPr>
              <w:t>24万元（据实结算）</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最高投标限价</w:t>
            </w:r>
            <w:r>
              <w:rPr>
                <w:rFonts w:hint="eastAsia" w:ascii="宋体" w:hAnsi="宋体" w:eastAsia="宋体" w:cs="宋体"/>
                <w:color w:val="auto"/>
                <w:kern w:val="0"/>
                <w:szCs w:val="21"/>
                <w:highlight w:val="none"/>
                <w:lang w:val="en-US" w:eastAsia="zh-CN"/>
              </w:rPr>
              <w:t>:</w:t>
            </w:r>
            <w:r>
              <w:rPr>
                <w:rFonts w:hint="eastAsia" w:ascii="宋体" w:hAnsi="宋体" w:cs="宋体"/>
                <w:color w:val="auto"/>
                <w:highlight w:val="none"/>
                <w:lang w:val="en-US" w:eastAsia="zh-CN"/>
              </w:rPr>
              <w:t>100%</w:t>
            </w:r>
          </w:p>
          <w:p w14:paraId="7AFDFAB9">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3.1 本项目</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以</w:t>
            </w:r>
            <w:r>
              <w:rPr>
                <w:rFonts w:hint="eastAsia" w:ascii="宋体" w:hAnsi="宋体" w:cs="宋体"/>
                <w:color w:val="auto"/>
                <w:kern w:val="0"/>
                <w:szCs w:val="21"/>
                <w:highlight w:val="none"/>
                <w:lang w:eastAsia="zh-CN"/>
              </w:rPr>
              <w:t>综合</w:t>
            </w:r>
            <w:r>
              <w:rPr>
                <w:rFonts w:hint="eastAsia" w:ascii="宋体" w:hAnsi="宋体" w:eastAsia="宋体" w:cs="宋体"/>
                <w:color w:val="auto"/>
                <w:kern w:val="0"/>
                <w:szCs w:val="21"/>
                <w:highlight w:val="none"/>
                <w:lang w:val="en-US" w:eastAsia="zh-CN"/>
              </w:rPr>
              <w:t>折扣率</w:t>
            </w:r>
            <w:r>
              <w:rPr>
                <w:rFonts w:hint="eastAsia" w:ascii="宋体" w:hAnsi="宋体" w:eastAsia="宋体" w:cs="宋体"/>
                <w:color w:val="auto"/>
                <w:kern w:val="0"/>
                <w:szCs w:val="21"/>
                <w:highlight w:val="none"/>
              </w:rPr>
              <w:t>报价。</w:t>
            </w:r>
          </w:p>
          <w:p w14:paraId="25F0BC31">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3.2 供应商的报价超过采购预算，采购人不能支付的，按废标处理。</w:t>
            </w:r>
          </w:p>
          <w:p w14:paraId="2834DD74">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3.3 本项目</w:t>
            </w:r>
            <w:r>
              <w:rPr>
                <w:rFonts w:hint="eastAsia" w:ascii="宋体" w:hAnsi="宋体" w:eastAsia="宋体" w:cs="宋体"/>
                <w:color w:val="auto"/>
                <w:kern w:val="0"/>
                <w:szCs w:val="21"/>
                <w:highlight w:val="none"/>
                <w:lang w:val="en-US" w:eastAsia="zh-CN"/>
              </w:rPr>
              <w:t>由成交供应商缴纳</w:t>
            </w:r>
            <w:r>
              <w:rPr>
                <w:rFonts w:hint="eastAsia" w:ascii="宋体" w:hAnsi="宋体" w:eastAsia="宋体" w:cs="宋体"/>
                <w:color w:val="auto"/>
                <w:kern w:val="0"/>
                <w:szCs w:val="21"/>
                <w:highlight w:val="none"/>
              </w:rPr>
              <w:t>招标代理服务费。</w:t>
            </w:r>
          </w:p>
        </w:tc>
      </w:tr>
      <w:tr w14:paraId="3EE741B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C1B12A3">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9E33BBE">
            <w:pPr>
              <w:widowControl/>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现场踏勘或标前答疑：本项目不组织现场踏勘或标前答疑会。</w:t>
            </w:r>
          </w:p>
        </w:tc>
      </w:tr>
      <w:tr w14:paraId="143D1BA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9A5FFD2">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2F7215E">
            <w:pPr>
              <w:widowControl/>
              <w:snapToGrid w:val="0"/>
              <w:spacing w:line="440" w:lineRule="exact"/>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文件组成：纸质</w:t>
            </w: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文件正本1份</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副本2份</w:t>
            </w:r>
            <w:r>
              <w:rPr>
                <w:rFonts w:hint="eastAsia" w:ascii="宋体" w:hAnsi="宋体" w:eastAsia="宋体" w:cs="宋体"/>
                <w:color w:val="auto"/>
                <w:highlight w:val="none"/>
              </w:rPr>
              <w:t>。</w:t>
            </w:r>
          </w:p>
        </w:tc>
      </w:tr>
      <w:tr w14:paraId="752FAAC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CD2BA7A">
            <w:pPr>
              <w:widowControl/>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6A15F0A">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w:t>
            </w:r>
            <w:r>
              <w:rPr>
                <w:rFonts w:hint="eastAsia" w:ascii="宋体" w:hAnsi="宋体" w:eastAsia="宋体" w:cs="宋体"/>
                <w:color w:val="auto"/>
                <w:kern w:val="0"/>
                <w:szCs w:val="21"/>
                <w:highlight w:val="none"/>
                <w:lang w:val="en-US" w:eastAsia="zh-CN"/>
              </w:rPr>
              <w:t>及开标时间</w:t>
            </w:r>
            <w:r>
              <w:rPr>
                <w:rFonts w:hint="eastAsia" w:ascii="宋体" w:hAnsi="宋体" w:eastAsia="宋体" w:cs="宋体"/>
                <w:color w:val="auto"/>
                <w:kern w:val="0"/>
                <w:szCs w:val="21"/>
                <w:highlight w:val="none"/>
              </w:rPr>
              <w:t>：</w:t>
            </w:r>
            <w:r>
              <w:rPr>
                <w:rFonts w:hint="eastAsia" w:ascii="宋体" w:hAnsi="宋体" w:eastAsia="宋体" w:cs="宋体"/>
                <w:color w:val="auto"/>
                <w:szCs w:val="21"/>
                <w:highlight w:val="none"/>
                <w:lang w:val="en-US" w:eastAsia="zh-CN"/>
              </w:rPr>
              <w:t>另行通知</w:t>
            </w:r>
          </w:p>
          <w:p w14:paraId="2952A193">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文件递交地点</w:t>
            </w:r>
            <w:r>
              <w:rPr>
                <w:rFonts w:hint="eastAsia" w:ascii="宋体" w:hAnsi="宋体" w:eastAsia="宋体" w:cs="宋体"/>
                <w:color w:val="auto"/>
                <w:kern w:val="0"/>
                <w:szCs w:val="21"/>
                <w:highlight w:val="none"/>
                <w:lang w:val="en-US" w:eastAsia="zh-CN"/>
              </w:rPr>
              <w:t>及开标地点</w:t>
            </w:r>
            <w:r>
              <w:rPr>
                <w:rFonts w:hint="eastAsia" w:ascii="宋体" w:hAnsi="宋体" w:eastAsia="宋体" w:cs="宋体"/>
                <w:color w:val="auto"/>
                <w:kern w:val="0"/>
                <w:szCs w:val="21"/>
                <w:highlight w:val="none"/>
              </w:rPr>
              <w:t>：</w:t>
            </w:r>
            <w:r>
              <w:rPr>
                <w:rFonts w:hint="eastAsia" w:ascii="宋体" w:hAnsi="宋体" w:eastAsia="宋体" w:cs="宋体"/>
                <w:color w:val="auto"/>
                <w:szCs w:val="21"/>
                <w:highlight w:val="none"/>
                <w:lang w:val="en-US" w:eastAsia="zh-CN"/>
              </w:rPr>
              <w:t>另行通知</w:t>
            </w:r>
            <w:r>
              <w:rPr>
                <w:rFonts w:hint="eastAsia" w:ascii="宋体" w:hAnsi="宋体" w:eastAsia="宋体" w:cs="宋体"/>
                <w:color w:val="auto"/>
                <w:kern w:val="0"/>
                <w:szCs w:val="21"/>
                <w:highlight w:val="none"/>
              </w:rPr>
              <w:t>。</w:t>
            </w:r>
          </w:p>
        </w:tc>
      </w:tr>
      <w:tr w14:paraId="5E101D7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3FC9EA6">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AB1A796">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w:t>
            </w:r>
            <w:r>
              <w:rPr>
                <w:rFonts w:hint="eastAsia" w:ascii="宋体" w:hAnsi="宋体" w:eastAsia="宋体" w:cs="宋体"/>
                <w:color w:val="auto"/>
                <w:kern w:val="0"/>
                <w:szCs w:val="21"/>
                <w:highlight w:val="none"/>
              </w:rPr>
              <w:t>员：</w:t>
            </w:r>
            <w:r>
              <w:rPr>
                <w:rFonts w:hint="eastAsia" w:ascii="宋体" w:hAnsi="宋体" w:eastAsia="宋体" w:cs="宋体"/>
                <w:color w:val="auto"/>
                <w:szCs w:val="21"/>
                <w:highlight w:val="none"/>
                <w:lang w:val="en-US" w:eastAsia="zh-CN"/>
              </w:rPr>
              <w:t>3</w:t>
            </w:r>
            <w:r>
              <w:rPr>
                <w:rFonts w:hint="eastAsia" w:ascii="宋体" w:hAnsi="宋体" w:eastAsia="宋体" w:cs="宋体"/>
                <w:color w:val="auto"/>
                <w:highlight w:val="none"/>
              </w:rPr>
              <w:t>人</w:t>
            </w:r>
            <w:r>
              <w:rPr>
                <w:rFonts w:hint="eastAsia" w:ascii="宋体" w:hAnsi="宋体" w:eastAsia="宋体" w:cs="宋体"/>
                <w:color w:val="auto"/>
                <w:highlight w:val="none"/>
                <w:lang w:val="en-US" w:eastAsia="zh-CN"/>
              </w:rPr>
              <w:t>及以上单数</w:t>
            </w:r>
            <w:r>
              <w:rPr>
                <w:rFonts w:hint="eastAsia" w:ascii="宋体" w:hAnsi="宋体" w:eastAsia="宋体" w:cs="宋体"/>
                <w:color w:val="auto"/>
                <w:kern w:val="0"/>
                <w:szCs w:val="21"/>
                <w:highlight w:val="none"/>
              </w:rPr>
              <w:t>。</w:t>
            </w:r>
          </w:p>
          <w:p w14:paraId="05D582FC">
            <w:pPr>
              <w:widowControl/>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专家确定方式：</w:t>
            </w:r>
            <w:r>
              <w:rPr>
                <w:rFonts w:hint="eastAsia" w:ascii="宋体" w:hAnsi="宋体" w:eastAsia="宋体" w:cs="宋体"/>
                <w:color w:val="auto"/>
                <w:kern w:val="0"/>
                <w:szCs w:val="21"/>
                <w:highlight w:val="none"/>
              </w:rPr>
              <w:t>由采购人</w:t>
            </w:r>
            <w:r>
              <w:rPr>
                <w:rFonts w:hint="eastAsia" w:ascii="宋体" w:hAnsi="宋体" w:eastAsia="宋体" w:cs="宋体"/>
                <w:color w:val="auto"/>
                <w:kern w:val="0"/>
                <w:szCs w:val="21"/>
                <w:highlight w:val="none"/>
                <w:lang w:val="en-US" w:eastAsia="zh-CN"/>
              </w:rPr>
              <w:t>抽取相关的技术人员组成</w:t>
            </w:r>
            <w:r>
              <w:rPr>
                <w:rFonts w:hint="eastAsia" w:ascii="宋体" w:hAnsi="宋体" w:eastAsia="宋体" w:cs="宋体"/>
                <w:color w:val="auto"/>
                <w:kern w:val="0"/>
                <w:szCs w:val="21"/>
                <w:highlight w:val="none"/>
              </w:rPr>
              <w:t>。</w:t>
            </w:r>
          </w:p>
        </w:tc>
      </w:tr>
      <w:tr w14:paraId="0A1264A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DCE24EC">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57DBE17">
            <w:pPr>
              <w:spacing w:line="240" w:lineRule="auto"/>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评标办法：</w:t>
            </w:r>
            <w:r>
              <w:rPr>
                <w:rFonts w:hint="eastAsia" w:ascii="宋体" w:hAnsi="宋体" w:eastAsia="宋体" w:cs="宋体"/>
                <w:color w:val="auto"/>
                <w:kern w:val="0"/>
                <w:szCs w:val="21"/>
                <w:highlight w:val="none"/>
              </w:rPr>
              <w:t>本项目采用</w:t>
            </w:r>
            <w:r>
              <w:rPr>
                <w:rFonts w:hint="eastAsia" w:ascii="宋体" w:hAnsi="宋体" w:eastAsia="宋体" w:cs="宋体"/>
                <w:color w:val="auto"/>
                <w:szCs w:val="21"/>
                <w:highlight w:val="none"/>
              </w:rPr>
              <w:t>综合评分法</w:t>
            </w:r>
            <w:r>
              <w:rPr>
                <w:rFonts w:hint="eastAsia" w:ascii="宋体" w:hAnsi="宋体" w:eastAsia="宋体" w:cs="宋体"/>
                <w:color w:val="auto"/>
                <w:kern w:val="0"/>
                <w:szCs w:val="21"/>
                <w:highlight w:val="none"/>
              </w:rPr>
              <w:t>。</w:t>
            </w:r>
          </w:p>
        </w:tc>
      </w:tr>
      <w:tr w14:paraId="12DC500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C16E639">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6305EFB">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公告及</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通知书：由采购人授权磋商小组</w:t>
            </w:r>
            <w:r>
              <w:rPr>
                <w:rFonts w:hint="eastAsia" w:ascii="宋体" w:hAnsi="宋体" w:cs="宋体"/>
                <w:color w:val="auto"/>
                <w:kern w:val="0"/>
                <w:szCs w:val="21"/>
                <w:highlight w:val="none"/>
                <w:lang w:eastAsia="zh-CN"/>
              </w:rPr>
              <w:t>确定一名成交供应商</w:t>
            </w:r>
            <w:r>
              <w:rPr>
                <w:rFonts w:hint="eastAsia" w:ascii="宋体" w:hAnsi="宋体" w:eastAsia="宋体" w:cs="宋体"/>
                <w:color w:val="auto"/>
                <w:kern w:val="0"/>
                <w:szCs w:val="21"/>
                <w:highlight w:val="none"/>
              </w:rPr>
              <w:t>并推荐一名</w:t>
            </w:r>
            <w:r>
              <w:rPr>
                <w:rFonts w:hint="eastAsia" w:ascii="宋体" w:hAnsi="宋体" w:eastAsia="宋体" w:cs="宋体"/>
                <w:color w:val="auto"/>
                <w:kern w:val="0"/>
                <w:szCs w:val="21"/>
                <w:highlight w:val="none"/>
                <w:lang w:eastAsia="zh-CN"/>
              </w:rPr>
              <w:t>成交候选供应商</w:t>
            </w:r>
            <w:r>
              <w:rPr>
                <w:rFonts w:hint="eastAsia" w:ascii="宋体" w:hAnsi="宋体" w:eastAsia="宋体" w:cs="宋体"/>
                <w:color w:val="auto"/>
                <w:kern w:val="0"/>
                <w:szCs w:val="21"/>
                <w:highlight w:val="none"/>
              </w:rPr>
              <w:t>。评审结束后在《驻马店市中心医院》官网上发布成交公告，公示期结束后向</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发出成交通知书。</w:t>
            </w:r>
          </w:p>
        </w:tc>
      </w:tr>
      <w:tr w14:paraId="3BF8FBD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3462E95">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A36C95F">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签订合同：自</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发出之日起</w:t>
            </w:r>
            <w:r>
              <w:rPr>
                <w:rFonts w:hint="eastAsia" w:ascii="宋体" w:hAnsi="宋体" w:eastAsia="宋体" w:cs="宋体"/>
                <w:color w:val="auto"/>
                <w:kern w:val="0"/>
                <w:szCs w:val="21"/>
                <w:highlight w:val="none"/>
                <w:lang w:val="en-US" w:eastAsia="zh-CN"/>
              </w:rPr>
              <w:t>30日</w:t>
            </w:r>
            <w:r>
              <w:rPr>
                <w:rFonts w:hint="eastAsia" w:ascii="宋体" w:hAnsi="宋体" w:eastAsia="宋体" w:cs="宋体"/>
                <w:color w:val="auto"/>
                <w:kern w:val="0"/>
                <w:szCs w:val="21"/>
                <w:highlight w:val="none"/>
              </w:rPr>
              <w:t>内。</w:t>
            </w:r>
          </w:p>
        </w:tc>
      </w:tr>
      <w:tr w14:paraId="7394CB7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3C34022">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EF40002">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采购资金来源：自筹资金。</w:t>
            </w:r>
          </w:p>
        </w:tc>
      </w:tr>
      <w:tr w14:paraId="193D7C4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E928E72">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AB95A3">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付款方式：详见第二章</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需求。</w:t>
            </w:r>
          </w:p>
        </w:tc>
      </w:tr>
      <w:tr w14:paraId="469CA73C">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4D23B4C">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F0B1EE1">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w:t>
            </w:r>
            <w:r>
              <w:rPr>
                <w:rFonts w:hint="eastAsia" w:ascii="宋体" w:hAnsi="宋体" w:eastAsia="宋体" w:cs="宋体"/>
                <w:color w:val="auto"/>
                <w:kern w:val="0"/>
                <w:szCs w:val="21"/>
                <w:highlight w:val="none"/>
                <w:lang w:val="en-US" w:eastAsia="zh-CN"/>
              </w:rPr>
              <w:t>响应文件递交</w:t>
            </w:r>
            <w:r>
              <w:rPr>
                <w:rFonts w:hint="eastAsia" w:ascii="宋体" w:hAnsi="宋体" w:eastAsia="宋体" w:cs="宋体"/>
                <w:color w:val="auto"/>
                <w:kern w:val="0"/>
                <w:szCs w:val="21"/>
                <w:highlight w:val="none"/>
              </w:rPr>
              <w:t>截止期结束后</w:t>
            </w:r>
            <w:r>
              <w:rPr>
                <w:rFonts w:hint="eastAsia" w:ascii="宋体" w:hAnsi="宋体" w:eastAsia="宋体" w:cs="宋体"/>
                <w:color w:val="auto"/>
                <w:kern w:val="0"/>
                <w:szCs w:val="21"/>
                <w:highlight w:val="none"/>
                <w:lang w:val="en-US" w:eastAsia="zh-CN"/>
              </w:rPr>
              <w:t>90</w:t>
            </w:r>
            <w:r>
              <w:rPr>
                <w:rFonts w:hint="eastAsia" w:ascii="宋体" w:hAnsi="宋体" w:eastAsia="宋体" w:cs="宋体"/>
                <w:color w:val="auto"/>
                <w:kern w:val="0"/>
                <w:szCs w:val="21"/>
                <w:highlight w:val="none"/>
              </w:rPr>
              <w:t>日。</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文件是合同的组成部分,有效期至合同完全履行止。 </w:t>
            </w:r>
          </w:p>
        </w:tc>
      </w:tr>
      <w:tr w14:paraId="7BAD5911">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DDFDC3E">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ECF5E78">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2"/>
                <w:sz w:val="21"/>
                <w:szCs w:val="24"/>
                <w:highlight w:val="none"/>
                <w:lang w:val="en-US" w:eastAsia="zh-CN" w:bidi="ar-SA"/>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559C11DA">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E1F339">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AAB57BF">
            <w:pPr>
              <w:widowControl/>
              <w:spacing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lang w:val="en-US" w:eastAsia="zh-CN"/>
              </w:rPr>
              <w:t>商品包装和快递包装应符合《商品包装政府采购需求标准（试行）》和《快递包装政府采购需求标准（试行）》规定，并提供相关的检测报告</w:t>
            </w:r>
            <w:r>
              <w:rPr>
                <w:rFonts w:hint="eastAsia" w:ascii="宋体" w:hAnsi="宋体" w:eastAsia="宋体" w:cs="宋体"/>
                <w:color w:val="auto"/>
                <w:szCs w:val="21"/>
                <w:highlight w:val="none"/>
              </w:rPr>
              <w:t>。</w:t>
            </w:r>
          </w:p>
        </w:tc>
      </w:tr>
      <w:tr w14:paraId="73ADF773">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BE073D7">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DC2F5E6">
            <w:pPr>
              <w:spacing w:line="360" w:lineRule="auto"/>
              <w:rPr>
                <w:rFonts w:hint="eastAsia" w:ascii="宋体" w:hAnsi="宋体" w:eastAsia="宋体" w:cs="宋体"/>
                <w:color w:val="auto"/>
                <w:kern w:val="0"/>
                <w:szCs w:val="21"/>
                <w:highlight w:val="none"/>
              </w:rPr>
            </w:pPr>
            <w:r>
              <w:rPr>
                <w:rFonts w:hint="eastAsia" w:ascii="宋体" w:hAnsi="宋体" w:eastAsia="宋体" w:cs="宋体"/>
                <w:bCs/>
                <w:color w:val="auto"/>
                <w:kern w:val="0"/>
                <w:szCs w:val="21"/>
                <w:highlight w:val="none"/>
              </w:rPr>
              <w:t>质疑和投诉：供应商认为</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文件使自己的合法权益受到损害的，</w:t>
            </w:r>
            <w:r>
              <w:rPr>
                <w:rFonts w:hint="eastAsia" w:ascii="宋体" w:hAnsi="宋体" w:eastAsia="宋体" w:cs="宋体"/>
                <w:color w:val="auto"/>
                <w:kern w:val="0"/>
                <w:szCs w:val="21"/>
                <w:highlight w:val="none"/>
              </w:rPr>
              <w:t>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公告期限届满之日(或收到</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文件之日)起</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个工作日之内向</w:t>
            </w:r>
            <w:r>
              <w:rPr>
                <w:rFonts w:hint="eastAsia" w:ascii="宋体" w:hAnsi="宋体" w:eastAsia="宋体" w:cs="宋体"/>
                <w:bCs/>
                <w:color w:val="auto"/>
                <w:kern w:val="0"/>
                <w:szCs w:val="21"/>
                <w:highlight w:val="none"/>
              </w:rPr>
              <w:t>采购人提出质疑；供应商认为</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w:t>
            </w:r>
            <w:r>
              <w:rPr>
                <w:rFonts w:hint="eastAsia" w:ascii="宋体" w:hAnsi="宋体" w:eastAsia="宋体" w:cs="宋体"/>
                <w:bCs/>
                <w:color w:val="auto"/>
                <w:kern w:val="0"/>
                <w:szCs w:val="21"/>
                <w:highlight w:val="none"/>
                <w:lang w:val="en-US" w:eastAsia="zh-CN"/>
              </w:rPr>
              <w:t>成交</w:t>
            </w:r>
            <w:r>
              <w:rPr>
                <w:rFonts w:hint="eastAsia" w:ascii="宋体" w:hAnsi="宋体" w:eastAsia="宋体" w:cs="宋体"/>
                <w:bCs/>
                <w:color w:val="auto"/>
                <w:kern w:val="0"/>
                <w:szCs w:val="21"/>
                <w:highlight w:val="none"/>
              </w:rPr>
              <w:t>结果使自己的合法权益受到损害的，应当在知道或者应知其权益受到损害之日起</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个工作日内提出质疑。</w:t>
            </w:r>
            <w:r>
              <w:rPr>
                <w:rFonts w:hint="eastAsia" w:ascii="宋体" w:hAnsi="宋体" w:eastAsia="宋体" w:cs="宋体"/>
                <w:color w:val="auto"/>
                <w:kern w:val="0"/>
                <w:szCs w:val="21"/>
                <w:highlight w:val="none"/>
              </w:rPr>
              <w:t>逾期不再受理,</w:t>
            </w:r>
            <w:r>
              <w:rPr>
                <w:rFonts w:hint="eastAsia" w:ascii="宋体" w:hAnsi="宋体" w:eastAsia="宋体" w:cs="宋体"/>
                <w:bCs/>
                <w:color w:val="auto"/>
                <w:kern w:val="0"/>
                <w:szCs w:val="21"/>
                <w:highlight w:val="none"/>
              </w:rPr>
              <w:t>供应商在法定质疑期内应一次性提出针对同一采购环节的质疑</w:t>
            </w:r>
            <w:r>
              <w:rPr>
                <w:rFonts w:hint="eastAsia" w:ascii="宋体" w:hAnsi="宋体" w:eastAsia="宋体" w:cs="宋体"/>
                <w:bCs/>
                <w:color w:val="auto"/>
                <w:kern w:val="0"/>
                <w:szCs w:val="21"/>
                <w:highlight w:val="none"/>
                <w:lang w:eastAsia="zh-CN"/>
              </w:rPr>
              <w:t>。</w:t>
            </w:r>
            <w:r>
              <w:rPr>
                <w:rFonts w:hint="eastAsia" w:ascii="宋体" w:hAnsi="宋体" w:eastAsia="宋体" w:cs="宋体"/>
                <w:color w:val="auto"/>
                <w:kern w:val="0"/>
                <w:szCs w:val="21"/>
                <w:highlight w:val="none"/>
              </w:rPr>
              <w:t>供应商对</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的质疑答复不满意,或</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未在规定时间内作出答复的，可以在答复期满后15个工作日内向</w:t>
            </w:r>
            <w:r>
              <w:rPr>
                <w:rFonts w:hint="eastAsia" w:ascii="宋体" w:hAnsi="宋体" w:eastAsia="宋体" w:cs="宋体"/>
                <w:color w:val="auto"/>
                <w:kern w:val="0"/>
                <w:szCs w:val="21"/>
                <w:highlight w:val="none"/>
                <w:lang w:val="en-US" w:eastAsia="zh-CN"/>
              </w:rPr>
              <w:t>医院纪检</w:t>
            </w:r>
            <w:r>
              <w:rPr>
                <w:rFonts w:hint="eastAsia" w:ascii="宋体" w:hAnsi="宋体" w:eastAsia="宋体" w:cs="宋体"/>
                <w:color w:val="auto"/>
                <w:kern w:val="0"/>
                <w:szCs w:val="21"/>
                <w:highlight w:val="none"/>
              </w:rPr>
              <w:t>部门投诉。</w:t>
            </w:r>
          </w:p>
        </w:tc>
      </w:tr>
      <w:tr w14:paraId="71A0F8B1">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2C15D76">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8B02A47">
            <w:pPr>
              <w:widowControl/>
              <w:spacing w:line="360" w:lineRule="auto"/>
              <w:jc w:val="left"/>
              <w:textAlignment w:val="bottom"/>
              <w:rPr>
                <w:rFonts w:hint="eastAsia" w:ascii="宋体" w:hAnsi="宋体" w:eastAsia="宋体" w:cs="宋体"/>
                <w:color w:val="auto"/>
                <w:highlight w:val="none"/>
              </w:rPr>
            </w:pPr>
            <w:r>
              <w:rPr>
                <w:rFonts w:hint="eastAsia" w:ascii="宋体" w:hAnsi="宋体" w:eastAsia="宋体" w:cs="宋体"/>
                <w:color w:val="auto"/>
                <w:highlight w:val="none"/>
              </w:rPr>
              <w:t>解释：1、构成本</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文件的各个组成文件应互为解释，互为说明；如有不明确或不一致，构成合同文件组成内容的，以合同文件约定内容为准；除</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文件中有特殊规定外，仅适用于招标投标阶段的规定，按</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公告、供应商须知、评标办法、</w:t>
            </w: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文件格式的先后顺序解释；同一组成文件中就同一事项的规定或约定不一致的，以编排顺序在后者为准；当</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文件与</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文件的澄清、修改或补充通知就同一内容的表述不一致时，以最后发出的书面文件为准。合同文件约定或后者明显错误的除外。</w:t>
            </w:r>
          </w:p>
          <w:p w14:paraId="7E99CCE5">
            <w:pPr>
              <w:widowControl/>
              <w:spacing w:line="360" w:lineRule="auto"/>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highlight w:val="none"/>
              </w:rPr>
              <w:t>2、本</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文件解释权归采购人。</w:t>
            </w:r>
          </w:p>
        </w:tc>
      </w:tr>
    </w:tbl>
    <w:p w14:paraId="004A8D42">
      <w:pPr>
        <w:rPr>
          <w:rFonts w:hint="eastAsia" w:ascii="宋体" w:hAnsi="宋体" w:eastAsia="宋体" w:cs="宋体"/>
          <w:color w:val="auto"/>
          <w:highlight w:val="none"/>
        </w:rPr>
      </w:pPr>
    </w:p>
    <w:p w14:paraId="4F8DA15F">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color w:val="auto"/>
          <w:kern w:val="0"/>
          <w:sz w:val="24"/>
          <w:highlight w:val="none"/>
        </w:rPr>
      </w:pPr>
      <w:r>
        <w:rPr>
          <w:rFonts w:hint="eastAsia" w:ascii="宋体" w:hAnsi="宋体" w:eastAsia="宋体" w:cs="宋体"/>
          <w:b/>
          <w:bCs/>
          <w:color w:val="auto"/>
          <w:kern w:val="0"/>
          <w:sz w:val="28"/>
          <w:szCs w:val="28"/>
          <w:highlight w:val="none"/>
        </w:rPr>
        <w:t>一 、说 明</w:t>
      </w:r>
    </w:p>
    <w:p w14:paraId="7DC9C2C2">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1.适用范围</w:t>
      </w:r>
    </w:p>
    <w:p w14:paraId="435A747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文件仅适用于</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公告中所叙述项目的</w:t>
      </w:r>
      <w:r>
        <w:rPr>
          <w:rFonts w:hint="eastAsia" w:ascii="宋体" w:hAnsi="宋体" w:eastAsia="宋体" w:cs="宋体"/>
          <w:color w:val="auto"/>
          <w:kern w:val="0"/>
          <w:szCs w:val="21"/>
          <w:highlight w:val="none"/>
          <w:lang w:eastAsia="zh-CN"/>
        </w:rPr>
        <w:t>货物</w:t>
      </w:r>
      <w:r>
        <w:rPr>
          <w:rFonts w:hint="eastAsia" w:ascii="宋体" w:hAnsi="宋体" w:eastAsia="宋体" w:cs="宋体"/>
          <w:color w:val="auto"/>
          <w:kern w:val="0"/>
          <w:szCs w:val="21"/>
          <w:highlight w:val="none"/>
        </w:rPr>
        <w:t>采购。</w:t>
      </w:r>
    </w:p>
    <w:p w14:paraId="77A81F5B">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2.定义</w:t>
      </w:r>
    </w:p>
    <w:p w14:paraId="4202E3D3">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2.1 “采购人”系指各级国家机关、事业单位、团体组织。</w:t>
      </w:r>
    </w:p>
    <w:p w14:paraId="4F588BA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”系指</w:t>
      </w:r>
      <w:r>
        <w:rPr>
          <w:rFonts w:hint="eastAsia" w:ascii="宋体" w:hAnsi="宋体" w:eastAsia="宋体" w:cs="宋体"/>
          <w:color w:val="auto"/>
          <w:kern w:val="0"/>
          <w:szCs w:val="21"/>
          <w:highlight w:val="none"/>
          <w:lang w:val="en-US" w:eastAsia="zh-CN"/>
        </w:rPr>
        <w:t>领取</w:t>
      </w:r>
      <w:r>
        <w:rPr>
          <w:rFonts w:hint="eastAsia" w:ascii="宋体" w:hAnsi="宋体" w:eastAsia="宋体" w:cs="宋体"/>
          <w:color w:val="auto"/>
          <w:kern w:val="0"/>
          <w:szCs w:val="21"/>
          <w:highlight w:val="none"/>
        </w:rPr>
        <w:t>了本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文件，且已经提交本次</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w:t>
      </w:r>
    </w:p>
    <w:p w14:paraId="097576B3">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2.3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代表”系指代表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参加本次</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活动的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的法定代表人或其委托代理人。</w:t>
      </w:r>
    </w:p>
    <w:p w14:paraId="6164D78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2.4 “货物”系指供应商按采购文件规定向采购人提供的一切设备、机械、仪器仪表、备品备件、工具、手册及其它有关技术资料和材料。</w:t>
      </w:r>
    </w:p>
    <w:p w14:paraId="2B43457C">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24万元</w:t>
      </w:r>
      <w:r>
        <w:rPr>
          <w:rFonts w:hint="eastAsia" w:ascii="宋体" w:hAnsi="宋体" w:eastAsia="宋体" w:cs="宋体"/>
          <w:b/>
          <w:bCs/>
          <w:color w:val="auto"/>
          <w:kern w:val="0"/>
          <w:szCs w:val="21"/>
          <w:highlight w:val="none"/>
          <w:lang w:val="en-US" w:eastAsia="zh-CN"/>
        </w:rPr>
        <w:t>（据实结算）</w:t>
      </w:r>
      <w:r>
        <w:rPr>
          <w:rFonts w:hint="eastAsia" w:ascii="宋体" w:hAnsi="宋体" w:eastAsia="宋体" w:cs="宋体"/>
          <w:b/>
          <w:bCs/>
          <w:color w:val="auto"/>
          <w:kern w:val="0"/>
          <w:szCs w:val="21"/>
          <w:highlight w:val="none"/>
          <w:lang w:eastAsia="zh-CN"/>
        </w:rPr>
        <w:t>；最高投标限价</w:t>
      </w:r>
      <w:r>
        <w:rPr>
          <w:rFonts w:hint="eastAsia" w:ascii="宋体" w:hAnsi="宋体" w:eastAsia="宋体" w:cs="宋体"/>
          <w:b/>
          <w:bCs/>
          <w:color w:val="auto"/>
          <w:kern w:val="0"/>
          <w:szCs w:val="21"/>
          <w:highlight w:val="none"/>
          <w:lang w:val="en-US" w:eastAsia="zh-CN"/>
        </w:rPr>
        <w:t>:100%</w:t>
      </w:r>
      <w:r>
        <w:rPr>
          <w:rFonts w:hint="eastAsia" w:ascii="宋体" w:hAnsi="宋体" w:eastAsia="宋体" w:cs="宋体"/>
          <w:b/>
          <w:bCs/>
          <w:color w:val="auto"/>
          <w:kern w:val="0"/>
          <w:szCs w:val="21"/>
          <w:highlight w:val="none"/>
          <w:lang w:eastAsia="zh-CN"/>
        </w:rPr>
        <w:t>；</w:t>
      </w:r>
    </w:p>
    <w:p w14:paraId="00FE0F48">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szCs w:val="21"/>
          <w:highlight w:val="none"/>
        </w:rPr>
      </w:pPr>
      <w:r>
        <w:rPr>
          <w:rFonts w:hint="eastAsia" w:ascii="宋体" w:hAnsi="宋体" w:eastAsia="宋体" w:cs="宋体"/>
          <w:b/>
          <w:bCs/>
          <w:color w:val="auto"/>
          <w:kern w:val="0"/>
          <w:szCs w:val="21"/>
          <w:highlight w:val="none"/>
        </w:rPr>
        <w:t>4.</w:t>
      </w:r>
      <w:r>
        <w:rPr>
          <w:rFonts w:hint="eastAsia" w:ascii="宋体" w:hAnsi="宋体" w:eastAsia="宋体" w:cs="宋体"/>
          <w:b/>
          <w:bCs/>
          <w:color w:val="auto"/>
          <w:kern w:val="0"/>
          <w:szCs w:val="21"/>
          <w:highlight w:val="none"/>
          <w:lang w:eastAsia="zh-CN"/>
        </w:rPr>
        <w:t>供应商</w:t>
      </w:r>
      <w:r>
        <w:rPr>
          <w:rFonts w:hint="eastAsia" w:ascii="宋体" w:hAnsi="宋体" w:eastAsia="宋体" w:cs="宋体"/>
          <w:b/>
          <w:bCs/>
          <w:color w:val="auto"/>
          <w:kern w:val="0"/>
          <w:szCs w:val="21"/>
          <w:highlight w:val="none"/>
        </w:rPr>
        <w:t>应提交的证明文件</w:t>
      </w:r>
    </w:p>
    <w:p w14:paraId="19C86C5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1</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lang w:val="en-US" w:eastAsia="zh-CN"/>
        </w:rPr>
        <w:t>供应商应为注册在中华人民共和国境内的，且具有独立承担民事责任能力，提供营业执照或其他证明材料。</w:t>
      </w:r>
    </w:p>
    <w:p w14:paraId="58802A87">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 xml:space="preserve">4.2 </w:t>
      </w:r>
      <w:r>
        <w:rPr>
          <w:rFonts w:hint="eastAsia" w:ascii="宋体" w:hAnsi="宋体" w:eastAsia="宋体" w:cs="宋体"/>
          <w:color w:val="auto"/>
          <w:highlight w:val="none"/>
          <w:lang w:val="en-US" w:eastAsia="zh-CN"/>
        </w:rPr>
        <w:t>供应商应提供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3D6F05F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3</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lang w:val="en-US" w:eastAsia="zh-CN"/>
        </w:rPr>
        <w:t>具有履行合同所必需的设备和专业技术能力（提供书面声明函）；</w:t>
      </w:r>
    </w:p>
    <w:p w14:paraId="29EA037A">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4</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lang w:val="en-US" w:eastAsia="zh-CN"/>
        </w:rPr>
        <w:t>参加本采购活动前三年内，在经营活动中没有重大违法记录（提供书面声明函）；</w:t>
      </w:r>
    </w:p>
    <w:p w14:paraId="2026381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 xml:space="preserve">4.5 </w:t>
      </w:r>
      <w:r>
        <w:rPr>
          <w:rFonts w:hint="eastAsia" w:ascii="宋体" w:hAnsi="宋体" w:eastAsia="宋体" w:cs="宋体"/>
          <w:color w:val="auto"/>
          <w:highlight w:val="none"/>
          <w:lang w:val="en-US" w:eastAsia="zh-CN"/>
        </w:rPr>
        <w:t>特定资格要求：</w:t>
      </w:r>
    </w:p>
    <w:p w14:paraId="6B302398">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4.5</w:t>
      </w:r>
      <w:r>
        <w:rPr>
          <w:rFonts w:hint="eastAsia" w:ascii="宋体" w:hAnsi="宋体" w:eastAsia="宋体" w:cs="宋体"/>
          <w:color w:val="auto"/>
          <w:highlight w:val="none"/>
          <w:lang w:val="en-US" w:eastAsia="zh-CN"/>
        </w:rPr>
        <w:t>.1供应商为代理商应具有符合《医疗器械监督管理条例》（国务院令第 739 号）相适应的经营资格（投标产品属于第二类医疗器械：须提供有效的医疗器械经营备案凭证；投标产品属于第三类医疗器械：须提供有效的医疗器械经营许可证；投标产品属于第一类医疗器械或投标产品不属于医疗器械：须提供相应的证明资料或情况说明）。</w:t>
      </w:r>
    </w:p>
    <w:p w14:paraId="6925EEF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4.5</w:t>
      </w:r>
      <w:r>
        <w:rPr>
          <w:rFonts w:hint="eastAsia" w:ascii="宋体" w:hAnsi="宋体" w:eastAsia="宋体" w:cs="宋体"/>
          <w:color w:val="auto"/>
          <w:highlight w:val="none"/>
          <w:lang w:val="en-US" w:eastAsia="zh-CN"/>
        </w:rPr>
        <w:t>.2供应商为境内生产商应具有符合《医疗器械监督管理条例》（国务院令第 739 号）相适应的生产资格（投标产品属于第二类或第三类医疗器械：须提供有效的医疗器械生产许可证；投标产品属于第一类医疗器械：须提供有效的医疗器械生产备案凭证；投标产品不属于医疗器械：须提供相应的证明资料或情况说明）。</w:t>
      </w:r>
    </w:p>
    <w:p w14:paraId="3EB61A52">
      <w:pPr>
        <w:keepNext w:val="0"/>
        <w:keepLines w:val="0"/>
        <w:pageBreakBefore w:val="0"/>
        <w:widowControl/>
        <w:tabs>
          <w:tab w:val="left" w:pos="840"/>
        </w:tabs>
        <w:kinsoku/>
        <w:overflowPunct/>
        <w:topLinePunct w:val="0"/>
        <w:autoSpaceDE/>
        <w:autoSpaceDN/>
        <w:bidi w:val="0"/>
        <w:snapToGrid w:val="0"/>
        <w:spacing w:line="336" w:lineRule="auto"/>
        <w:ind w:firstLine="420" w:firstLineChars="200"/>
        <w:jc w:val="left"/>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4.5.3投标产品属于第二类或第三类医疗器械：须提供有效的医疗器械产品注册证；投标产品属于第一类医疗器械：须提供有效的产品备案凭证；投标产品不属于医疗器械：须提供相应的证明资料或情况说明。</w:t>
      </w:r>
    </w:p>
    <w:p w14:paraId="75715F22">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 xml:space="preserve">4.6 </w:t>
      </w:r>
      <w:r>
        <w:rPr>
          <w:rFonts w:hint="eastAsia" w:ascii="宋体" w:hAnsi="宋体" w:eastAsia="宋体" w:cs="宋体"/>
          <w:color w:val="auto"/>
          <w:highlight w:val="none"/>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3D3B5B34">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 xml:space="preserve">4.7 </w:t>
      </w:r>
      <w:r>
        <w:rPr>
          <w:rFonts w:hint="eastAsia" w:ascii="宋体" w:hAnsi="宋体" w:eastAsia="宋体" w:cs="宋体"/>
          <w:color w:val="auto"/>
          <w:highlight w:val="none"/>
          <w:lang w:val="en-US" w:eastAsia="zh-CN"/>
        </w:rPr>
        <w:t>单位负责人为同一人或者存在直接控股、管理关系的不同供应商，不得参加同一合同项下的磋商（提供书面声明函）。一经发现，将导致投标同时被拒绝。</w:t>
      </w:r>
    </w:p>
    <w:p w14:paraId="24C9545E">
      <w:pPr>
        <w:keepNext w:val="0"/>
        <w:keepLines w:val="0"/>
        <w:pageBreakBefore w:val="0"/>
        <w:widowControl/>
        <w:kinsoku/>
        <w:wordWrap/>
        <w:overflowPunct/>
        <w:topLinePunct w:val="0"/>
        <w:bidi w:val="0"/>
        <w:snapToGrid w:val="0"/>
        <w:spacing w:line="360" w:lineRule="auto"/>
        <w:ind w:firstLine="420"/>
        <w:jc w:val="left"/>
        <w:textAlignment w:val="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5.投标费用</w:t>
      </w:r>
    </w:p>
    <w:p w14:paraId="46861BDF">
      <w:pPr>
        <w:keepNext w:val="0"/>
        <w:keepLines w:val="0"/>
        <w:pageBreakBefore w:val="0"/>
        <w:widowControl/>
        <w:kinsoku/>
        <w:wordWrap/>
        <w:overflowPunct/>
        <w:topLinePunct w:val="0"/>
        <w:bidi w:val="0"/>
        <w:snapToGrid w:val="0"/>
        <w:spacing w:line="360" w:lineRule="auto"/>
        <w:ind w:firstLine="48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不论投标结果如何，</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均应自行承担所有与投标有关的全部费用。</w:t>
      </w:r>
    </w:p>
    <w:p w14:paraId="236EBBF2">
      <w:pPr>
        <w:keepNext w:val="0"/>
        <w:keepLines w:val="0"/>
        <w:pageBreakBefore w:val="0"/>
        <w:widowControl/>
        <w:kinsoku/>
        <w:wordWrap/>
        <w:overflowPunct/>
        <w:topLinePunct w:val="0"/>
        <w:bidi w:val="0"/>
        <w:snapToGrid w:val="0"/>
        <w:spacing w:line="360" w:lineRule="auto"/>
        <w:ind w:firstLine="420"/>
        <w:jc w:val="left"/>
        <w:textAlignment w:val="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6.联合体投标：本项目不接受联合体投标。</w:t>
      </w:r>
    </w:p>
    <w:p w14:paraId="6AABC436">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7.关联企业投标</w:t>
      </w:r>
    </w:p>
    <w:p w14:paraId="4732FE9C">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7.1 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7C91C9E1">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r>
        <w:rPr>
          <w:rFonts w:hint="eastAsia" w:ascii="宋体" w:hAnsi="宋体" w:eastAsia="宋体" w:cs="宋体"/>
          <w:color w:val="auto"/>
          <w:kern w:val="0"/>
          <w:szCs w:val="21"/>
          <w:highlight w:val="none"/>
          <w:lang w:eastAsia="zh-CN"/>
        </w:rPr>
        <w:t>。</w:t>
      </w:r>
    </w:p>
    <w:p w14:paraId="39BDC3BC">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7.3 为采购项目提供整体设计、规范编制或者项目管理、监理、检测等服务的供应商，不得再参加该采购项目的投标活动。</w:t>
      </w:r>
    </w:p>
    <w:p w14:paraId="5F92A553">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8.转包与分包</w:t>
      </w:r>
    </w:p>
    <w:p w14:paraId="4B9EEE6A">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8.1本项目不允许采取转包方式履行合同。</w:t>
      </w:r>
    </w:p>
    <w:p w14:paraId="69C0C2E3">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8.2本项目不允许采取分包方式履行合同。</w:t>
      </w:r>
    </w:p>
    <w:p w14:paraId="49F7664F">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9.特别说明：</w:t>
      </w:r>
    </w:p>
    <w:p w14:paraId="5279C41E">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9.1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投标所使用的资格、信誉、荣誉、业绩与企业认证必须为本法人所拥有。  </w:t>
      </w:r>
    </w:p>
    <w:p w14:paraId="3FFD5AF9">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9.2</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代表只能接受一个</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的委托参加投标。</w:t>
      </w:r>
    </w:p>
    <w:p w14:paraId="500AF1D9">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9.3</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《政府采购法》第二十二条第五款“参加政府采购活动前三年内，在经营活动中没有重大违法记录”，“重大违法记录”包括</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或其法定代表人、董事、监事、高级管理人员因经营活动中的违法行为受到刑事处罚。</w:t>
      </w:r>
    </w:p>
    <w:p w14:paraId="4B293B5B">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9.4</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在投标活动中提供虚假材料或从事其他违法活动的,其投标无效，由相关部门查处。</w:t>
      </w:r>
    </w:p>
    <w:p w14:paraId="4475F426">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10.质疑和投诉</w:t>
      </w:r>
    </w:p>
    <w:p w14:paraId="67F90B24">
      <w:pPr>
        <w:keepNext w:val="0"/>
        <w:keepLines w:val="0"/>
        <w:pageBreakBefore w:val="0"/>
        <w:widowControl/>
        <w:kinsoku/>
        <w:wordWrap/>
        <w:overflowPunct/>
        <w:topLinePunct w:val="0"/>
        <w:bidi w:val="0"/>
        <w:snapToGrid w:val="0"/>
        <w:spacing w:line="360" w:lineRule="auto"/>
        <w:ind w:firstLine="411" w:firstLineChars="196"/>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10.1</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bCs/>
          <w:color w:val="auto"/>
          <w:kern w:val="0"/>
          <w:szCs w:val="21"/>
          <w:highlight w:val="none"/>
        </w:rPr>
        <w:t>供应商认为</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文件使自己的合法权益受到损害的，</w:t>
      </w:r>
      <w:r>
        <w:rPr>
          <w:rFonts w:hint="eastAsia" w:ascii="宋体" w:hAnsi="宋体" w:eastAsia="宋体" w:cs="宋体"/>
          <w:color w:val="auto"/>
          <w:kern w:val="0"/>
          <w:szCs w:val="21"/>
          <w:highlight w:val="none"/>
        </w:rPr>
        <w:t>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公告期限届满之日(或收到</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文件之日)起</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个工作日之内向</w:t>
      </w:r>
      <w:r>
        <w:rPr>
          <w:rFonts w:hint="eastAsia" w:ascii="宋体" w:hAnsi="宋体" w:eastAsia="宋体" w:cs="宋体"/>
          <w:bCs/>
          <w:color w:val="auto"/>
          <w:kern w:val="0"/>
          <w:szCs w:val="21"/>
          <w:highlight w:val="none"/>
        </w:rPr>
        <w:t>采购人提出质疑；供应商认为</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过程和中标结果使自己的合法权益受到损害的，应当在知道或者应知其权益受到损害之日起</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个工作日内提出质疑。</w:t>
      </w:r>
      <w:r>
        <w:rPr>
          <w:rFonts w:hint="eastAsia" w:ascii="宋体" w:hAnsi="宋体" w:eastAsia="宋体" w:cs="宋体"/>
          <w:color w:val="auto"/>
          <w:kern w:val="0"/>
          <w:szCs w:val="21"/>
          <w:highlight w:val="none"/>
        </w:rPr>
        <w:t>逾期不再受理,</w:t>
      </w:r>
      <w:r>
        <w:rPr>
          <w:rFonts w:hint="eastAsia" w:ascii="宋体" w:hAnsi="宋体" w:eastAsia="宋体" w:cs="宋体"/>
          <w:bCs/>
          <w:color w:val="auto"/>
          <w:kern w:val="0"/>
          <w:szCs w:val="21"/>
          <w:highlight w:val="none"/>
        </w:rPr>
        <w:t>供应商在法定质疑期内应一次性提出针对同一采购环节的质疑。</w:t>
      </w:r>
      <w:r>
        <w:rPr>
          <w:rFonts w:hint="eastAsia" w:ascii="宋体" w:hAnsi="宋体" w:eastAsia="宋体" w:cs="宋体"/>
          <w:color w:val="auto"/>
          <w:kern w:val="0"/>
          <w:szCs w:val="21"/>
          <w:highlight w:val="none"/>
        </w:rPr>
        <w:t>供应商对</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的质疑答复不满意,或</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未在规定时间内作出答复的，可以在答复期满后15个工作日内向</w:t>
      </w:r>
      <w:r>
        <w:rPr>
          <w:rFonts w:hint="eastAsia" w:ascii="宋体" w:hAnsi="宋体" w:eastAsia="宋体" w:cs="宋体"/>
          <w:color w:val="auto"/>
          <w:kern w:val="0"/>
          <w:szCs w:val="21"/>
          <w:highlight w:val="none"/>
          <w:lang w:val="en-US" w:eastAsia="zh-CN"/>
        </w:rPr>
        <w:t>医院纪检</w:t>
      </w:r>
      <w:r>
        <w:rPr>
          <w:rFonts w:hint="eastAsia" w:ascii="宋体" w:hAnsi="宋体" w:eastAsia="宋体" w:cs="宋体"/>
          <w:color w:val="auto"/>
          <w:kern w:val="0"/>
          <w:szCs w:val="21"/>
          <w:highlight w:val="none"/>
        </w:rPr>
        <w:t>部门投诉。</w:t>
      </w:r>
    </w:p>
    <w:p w14:paraId="3703C477">
      <w:pPr>
        <w:keepNext w:val="0"/>
        <w:keepLines w:val="0"/>
        <w:pageBreakBefore w:val="0"/>
        <w:widowControl/>
        <w:shd w:val="clear" w:color="auto" w:fill="FFFFFF"/>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10.2</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bCs/>
          <w:color w:val="auto"/>
          <w:kern w:val="0"/>
          <w:szCs w:val="21"/>
          <w:highlight w:val="none"/>
        </w:rPr>
        <w:t>质疑、投诉应当采用书面形式，质疑书、投诉书均应明确阐述</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过程和中标结果中使自己合法权益受到损害的实质性内容，提供相关事实、依据和证据及其来源或线索，便于有关单位调查、答复和处理。</w:t>
      </w:r>
    </w:p>
    <w:p w14:paraId="0D0A6C63">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11.</w:t>
      </w:r>
      <w:r>
        <w:rPr>
          <w:rFonts w:hint="eastAsia" w:ascii="宋体" w:hAnsi="宋体" w:eastAsia="宋体" w:cs="宋体"/>
          <w:b/>
          <w:bCs/>
          <w:color w:val="auto"/>
          <w:kern w:val="0"/>
          <w:szCs w:val="21"/>
          <w:highlight w:val="none"/>
          <w:lang w:eastAsia="zh-CN"/>
        </w:rPr>
        <w:t>供应商</w:t>
      </w:r>
      <w:r>
        <w:rPr>
          <w:rFonts w:hint="eastAsia" w:ascii="宋体" w:hAnsi="宋体" w:eastAsia="宋体" w:cs="宋体"/>
          <w:b/>
          <w:bCs/>
          <w:color w:val="auto"/>
          <w:kern w:val="0"/>
          <w:szCs w:val="21"/>
          <w:highlight w:val="none"/>
        </w:rPr>
        <w:t>的风险</w:t>
      </w:r>
    </w:p>
    <w:p w14:paraId="62D38B51">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没有按照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文件要求提供全部资料，或者</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没有对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文件在各方面都作出实质性响应是</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的风险，并可能导致其投标被拒绝。</w:t>
      </w:r>
    </w:p>
    <w:p w14:paraId="4E127A4C">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二、</w:t>
      </w:r>
      <w:r>
        <w:rPr>
          <w:rFonts w:hint="eastAsia" w:ascii="宋体" w:hAnsi="宋体" w:eastAsia="宋体" w:cs="宋体"/>
          <w:b/>
          <w:bCs/>
          <w:color w:val="auto"/>
          <w:kern w:val="0"/>
          <w:sz w:val="28"/>
          <w:szCs w:val="28"/>
          <w:highlight w:val="none"/>
          <w:lang w:val="en-US" w:eastAsia="zh-CN"/>
        </w:rPr>
        <w:t>采购</w:t>
      </w:r>
      <w:r>
        <w:rPr>
          <w:rFonts w:hint="eastAsia" w:ascii="宋体" w:hAnsi="宋体" w:eastAsia="宋体" w:cs="宋体"/>
          <w:b/>
          <w:bCs/>
          <w:color w:val="auto"/>
          <w:kern w:val="0"/>
          <w:sz w:val="28"/>
          <w:szCs w:val="28"/>
          <w:highlight w:val="none"/>
        </w:rPr>
        <w:t>文件</w:t>
      </w:r>
    </w:p>
    <w:p w14:paraId="4347A510">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12.</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文件的构成。本</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文件由以下部分组成：</w:t>
      </w:r>
    </w:p>
    <w:p w14:paraId="660425B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12.1 </w:t>
      </w:r>
      <w:r>
        <w:rPr>
          <w:rFonts w:hint="eastAsia" w:ascii="宋体" w:hAnsi="宋体" w:eastAsia="宋体" w:cs="宋体"/>
          <w:color w:val="auto"/>
          <w:kern w:val="0"/>
          <w:szCs w:val="21"/>
          <w:highlight w:val="none"/>
          <w:lang w:val="en-US" w:eastAsia="zh-CN"/>
        </w:rPr>
        <w:t>竞争性磋商</w:t>
      </w:r>
      <w:r>
        <w:rPr>
          <w:rFonts w:hint="eastAsia" w:ascii="宋体" w:hAnsi="宋体" w:eastAsia="宋体" w:cs="宋体"/>
          <w:color w:val="auto"/>
          <w:kern w:val="0"/>
          <w:szCs w:val="21"/>
          <w:highlight w:val="none"/>
        </w:rPr>
        <w:t>公告</w:t>
      </w:r>
    </w:p>
    <w:p w14:paraId="4497941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需求</w:t>
      </w:r>
    </w:p>
    <w:p w14:paraId="544D4B9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12.3 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w:t>
      </w:r>
    </w:p>
    <w:p w14:paraId="4106BF8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12.4 评标办法</w:t>
      </w:r>
    </w:p>
    <w:p w14:paraId="56F023D3">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12.5 合同主要条款</w:t>
      </w:r>
    </w:p>
    <w:p w14:paraId="3232DE33">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12.6 </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w:t>
      </w:r>
    </w:p>
    <w:p w14:paraId="2E308332">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13.</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文件的澄清与修改</w:t>
      </w:r>
    </w:p>
    <w:p w14:paraId="09338CC5">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13.1 </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对已发出的</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文件进行必要澄清、修改或补充的，应当在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文件截止时间</w:t>
      </w:r>
      <w:r>
        <w:rPr>
          <w:rFonts w:hint="eastAsia" w:ascii="宋体" w:hAnsi="宋体" w:eastAsia="宋体" w:cs="宋体"/>
          <w:color w:val="auto"/>
          <w:kern w:val="0"/>
          <w:szCs w:val="21"/>
          <w:highlight w:val="none"/>
          <w:lang w:val="en-US" w:eastAsia="zh-CN"/>
        </w:rPr>
        <w:t>3</w:t>
      </w:r>
      <w:r>
        <w:rPr>
          <w:rFonts w:hint="eastAsia" w:ascii="宋体" w:hAnsi="宋体" w:eastAsia="宋体" w:cs="宋体"/>
          <w:bCs/>
          <w:color w:val="auto"/>
          <w:kern w:val="0"/>
          <w:szCs w:val="21"/>
          <w:highlight w:val="none"/>
        </w:rPr>
        <w:t>日</w:t>
      </w:r>
      <w:r>
        <w:rPr>
          <w:rFonts w:hint="eastAsia" w:ascii="宋体" w:hAnsi="宋体" w:eastAsia="宋体" w:cs="宋体"/>
          <w:color w:val="auto"/>
          <w:kern w:val="0"/>
          <w:szCs w:val="21"/>
          <w:highlight w:val="none"/>
        </w:rPr>
        <w:t>前，在</w:t>
      </w:r>
      <w:r>
        <w:rPr>
          <w:rFonts w:hint="eastAsia" w:ascii="宋体" w:hAnsi="宋体" w:eastAsia="宋体" w:cs="宋体"/>
          <w:color w:val="auto"/>
          <w:kern w:val="0"/>
          <w:szCs w:val="21"/>
          <w:highlight w:val="none"/>
          <w:lang w:val="en-US" w:eastAsia="zh-CN"/>
        </w:rPr>
        <w:t>原采购公告发布</w:t>
      </w:r>
      <w:r>
        <w:rPr>
          <w:rFonts w:hint="eastAsia" w:ascii="宋体" w:hAnsi="宋体" w:eastAsia="宋体" w:cs="宋体"/>
          <w:color w:val="auto"/>
          <w:kern w:val="0"/>
          <w:szCs w:val="21"/>
          <w:highlight w:val="none"/>
        </w:rPr>
        <w:t>相关媒体上发布更正公告或变更公告。</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文件公示期间对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文件进行的澄清、修改或补充不受上述限制。</w:t>
      </w:r>
    </w:p>
    <w:p w14:paraId="0B46D5AC">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文件澄清、修改或补充的内容为</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文件的组成部分。</w:t>
      </w:r>
    </w:p>
    <w:p w14:paraId="6E0FAEED">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13.3 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文件的澄清、修改或补充都应以法定形式发布。采购人未对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文件进行的澄清、修改或补充无效，评标时不予认可。</w:t>
      </w:r>
    </w:p>
    <w:p w14:paraId="44B2FFC3">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13.4 </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可以视</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具体情况延长</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截止时间和</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时间，但至少应当在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文件的截止时间3</w:t>
      </w:r>
      <w:r>
        <w:rPr>
          <w:rFonts w:hint="eastAsia" w:ascii="宋体" w:hAnsi="宋体" w:eastAsia="宋体" w:cs="宋体"/>
          <w:bCs/>
          <w:color w:val="auto"/>
          <w:kern w:val="0"/>
          <w:szCs w:val="21"/>
          <w:highlight w:val="none"/>
        </w:rPr>
        <w:t>日</w:t>
      </w:r>
      <w:r>
        <w:rPr>
          <w:rFonts w:hint="eastAsia" w:ascii="宋体" w:hAnsi="宋体" w:eastAsia="宋体" w:cs="宋体"/>
          <w:color w:val="auto"/>
          <w:kern w:val="0"/>
          <w:szCs w:val="21"/>
          <w:highlight w:val="none"/>
        </w:rPr>
        <w:t>前，将变更时间</w:t>
      </w:r>
      <w:r>
        <w:rPr>
          <w:rFonts w:hint="eastAsia" w:ascii="宋体" w:hAnsi="宋体" w:eastAsia="宋体" w:cs="宋体"/>
          <w:color w:val="auto"/>
          <w:kern w:val="0"/>
          <w:szCs w:val="21"/>
          <w:highlight w:val="none"/>
          <w:lang w:val="en-US" w:eastAsia="zh-CN"/>
        </w:rPr>
        <w:t>通知所有潜在供应商</w:t>
      </w:r>
      <w:r>
        <w:rPr>
          <w:rFonts w:hint="eastAsia" w:ascii="宋体" w:hAnsi="宋体" w:eastAsia="宋体" w:cs="宋体"/>
          <w:color w:val="auto"/>
          <w:kern w:val="0"/>
          <w:szCs w:val="21"/>
          <w:highlight w:val="none"/>
        </w:rPr>
        <w:t>。</w:t>
      </w:r>
    </w:p>
    <w:p w14:paraId="0F8C3915">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三、</w:t>
      </w:r>
      <w:r>
        <w:rPr>
          <w:rFonts w:hint="eastAsia" w:ascii="宋体" w:hAnsi="宋体" w:eastAsia="宋体" w:cs="宋体"/>
          <w:b/>
          <w:bCs/>
          <w:color w:val="auto"/>
          <w:kern w:val="0"/>
          <w:sz w:val="28"/>
          <w:szCs w:val="28"/>
          <w:highlight w:val="none"/>
          <w:lang w:val="en-US" w:eastAsia="zh-CN"/>
        </w:rPr>
        <w:t>响应</w:t>
      </w:r>
      <w:r>
        <w:rPr>
          <w:rFonts w:hint="eastAsia" w:ascii="宋体" w:hAnsi="宋体" w:eastAsia="宋体" w:cs="宋体"/>
          <w:b/>
          <w:bCs/>
          <w:color w:val="auto"/>
          <w:kern w:val="0"/>
          <w:sz w:val="28"/>
          <w:szCs w:val="28"/>
          <w:highlight w:val="none"/>
        </w:rPr>
        <w:t>文件的编制</w:t>
      </w:r>
    </w:p>
    <w:p w14:paraId="4004540C">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14.要求</w:t>
      </w:r>
    </w:p>
    <w:p w14:paraId="683EEFD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14.1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应仔细阅读</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文件的所有内容，按照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文件提供的格式编写</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文件，不得缺少或留空任何</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文件要求填写的表格或提交的资料。</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文件提供格式的按格式填列，未提供格式的可自行拟定。</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文件的要求作出实质性响应（包括</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资格要求、技术要求、商务要求和</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文件格式中对</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的要求），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对所提供的全部资料的合法性、真实性负责。</w:t>
      </w:r>
    </w:p>
    <w:p w14:paraId="0F677CD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14.2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应完整签署</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文件格式附件中《投标书》和《抵制商业贿赂承诺》，不得增减或修改内容。否则视为对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文件未作出实质性响应。</w:t>
      </w:r>
    </w:p>
    <w:p w14:paraId="5C382362">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15.</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文件的语言和计量单位</w:t>
      </w:r>
    </w:p>
    <w:p w14:paraId="7C3B813B">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15.1</w:t>
      </w:r>
      <w:r>
        <w:rPr>
          <w:rFonts w:hint="eastAsia" w:ascii="宋体" w:hAnsi="宋体" w:eastAsia="宋体" w:cs="宋体"/>
          <w:color w:val="auto"/>
          <w:kern w:val="0"/>
          <w:szCs w:val="21"/>
          <w:highlight w:val="none"/>
          <w:lang w:val="en-US" w:eastAsia="zh-CN"/>
        </w:rPr>
        <w:t xml:space="preserve"> 响应</w:t>
      </w:r>
      <w:r>
        <w:rPr>
          <w:rFonts w:hint="eastAsia" w:ascii="宋体" w:hAnsi="宋体" w:eastAsia="宋体" w:cs="宋体"/>
          <w:color w:val="auto"/>
          <w:kern w:val="0"/>
          <w:szCs w:val="21"/>
          <w:highlight w:val="none"/>
        </w:rPr>
        <w:t>文件以及</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与采购人就有关</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事宜的所有来往函电均应使用简体中文书写。</w:t>
      </w:r>
    </w:p>
    <w:p w14:paraId="7621E530">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15.2</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关于</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计量单位，</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文件已有明确规定的，使用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文件规定的计量单位；</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文件没有规定的，应采用中华人民共和国法定计量单位。否则视为对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文件未作出实质性响应。</w:t>
      </w:r>
    </w:p>
    <w:p w14:paraId="54451658">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15.3</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原版为外文的证书类文件，以及由外国人做出的本人签名、外国公司的名称或外国印章等可以是外文，但应当提供中文翻译文件并加盖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公章。必要时</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可以要求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提供附有公证书的中文翻译文件或者与原版文件签章相一致的中文翻译文件。</w:t>
      </w:r>
    </w:p>
    <w:p w14:paraId="6160AC50">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16.</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文件的组成</w:t>
      </w:r>
      <w:r>
        <w:rPr>
          <w:rFonts w:hint="eastAsia" w:ascii="宋体" w:hAnsi="宋体" w:eastAsia="宋体" w:cs="宋体"/>
          <w:color w:val="auto"/>
          <w:kern w:val="0"/>
          <w:szCs w:val="21"/>
          <w:highlight w:val="none"/>
        </w:rPr>
        <w:t>。</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文件应包括下列部分：</w:t>
      </w:r>
    </w:p>
    <w:p w14:paraId="6F18F22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16.1、</w:t>
      </w:r>
      <w:r>
        <w:rPr>
          <w:rFonts w:hint="eastAsia" w:ascii="宋体" w:hAnsi="宋体" w:cs="宋体"/>
          <w:color w:val="auto"/>
          <w:kern w:val="0"/>
          <w:szCs w:val="21"/>
          <w:highlight w:val="none"/>
          <w:lang w:val="en-US" w:eastAsia="zh-CN"/>
        </w:rPr>
        <w:t>投标</w:t>
      </w:r>
      <w:r>
        <w:rPr>
          <w:rFonts w:hint="eastAsia" w:ascii="宋体" w:hAnsi="宋体" w:eastAsia="宋体" w:cs="宋体"/>
          <w:color w:val="auto"/>
          <w:kern w:val="0"/>
          <w:szCs w:val="21"/>
          <w:highlight w:val="none"/>
        </w:rPr>
        <w:t>书及开标一览表</w:t>
      </w:r>
    </w:p>
    <w:p w14:paraId="21277FF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16.2、</w:t>
      </w:r>
      <w:r>
        <w:rPr>
          <w:rFonts w:hint="eastAsia" w:ascii="宋体" w:hAnsi="宋体" w:eastAsia="宋体" w:cs="宋体"/>
          <w:color w:val="auto"/>
          <w:kern w:val="0"/>
          <w:szCs w:val="21"/>
          <w:highlight w:val="none"/>
        </w:rPr>
        <w:t>报价明细表</w:t>
      </w:r>
    </w:p>
    <w:p w14:paraId="4DB8515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、技术响应表</w:t>
      </w:r>
    </w:p>
    <w:p w14:paraId="60EF7CE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、商务响应表</w:t>
      </w:r>
    </w:p>
    <w:p w14:paraId="0B275C27">
      <w:pPr>
        <w:keepNext w:val="0"/>
        <w:keepLines w:val="0"/>
        <w:pageBreakBefore w:val="0"/>
        <w:widowControl/>
        <w:kinsoku/>
        <w:wordWrap/>
        <w:overflowPunct/>
        <w:topLinePunct w:val="0"/>
        <w:bidi w:val="0"/>
        <w:snapToGrid w:val="0"/>
        <w:spacing w:line="360" w:lineRule="auto"/>
        <w:ind w:left="208" w:leftChars="99" w:firstLine="210" w:firstLineChars="1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、法定代表人身份证明</w:t>
      </w:r>
    </w:p>
    <w:p w14:paraId="6A3B0E9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6</w:t>
      </w:r>
      <w:r>
        <w:rPr>
          <w:rFonts w:hint="eastAsia" w:ascii="宋体" w:hAnsi="宋体" w:eastAsia="宋体" w:cs="宋体"/>
          <w:color w:val="auto"/>
          <w:kern w:val="0"/>
          <w:szCs w:val="21"/>
          <w:highlight w:val="none"/>
        </w:rPr>
        <w:t>、法定代表人授权书</w:t>
      </w:r>
    </w:p>
    <w:p w14:paraId="22F34815">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、证明文件</w:t>
      </w:r>
    </w:p>
    <w:p w14:paraId="1B8AB2DF">
      <w:pPr>
        <w:keepNext w:val="0"/>
        <w:keepLines w:val="0"/>
        <w:pageBreakBefore w:val="0"/>
        <w:widowControl/>
        <w:kinsoku/>
        <w:wordWrap/>
        <w:overflowPunct/>
        <w:topLinePunct w:val="0"/>
        <w:bidi w:val="0"/>
        <w:snapToGrid w:val="0"/>
        <w:spacing w:line="360" w:lineRule="auto"/>
        <w:ind w:firstLine="42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供应商承诺书</w:t>
      </w:r>
    </w:p>
    <w:p w14:paraId="0ACA2955">
      <w:pPr>
        <w:pStyle w:val="15"/>
        <w:keepNext w:val="0"/>
        <w:keepLines w:val="0"/>
        <w:pageBreakBefore w:val="0"/>
        <w:kinsoku/>
        <w:wordWrap/>
        <w:overflowPunct/>
        <w:topLinePunct w:val="0"/>
        <w:bidi w:val="0"/>
        <w:snapToGrid w:val="0"/>
        <w:spacing w:beforeAutospacing="0" w:afterAutospacing="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供应商信用承诺函</w:t>
      </w:r>
    </w:p>
    <w:p w14:paraId="4604E752">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17.</w:t>
      </w:r>
      <w:r>
        <w:rPr>
          <w:rFonts w:hint="eastAsia" w:ascii="宋体" w:hAnsi="宋体" w:eastAsia="宋体" w:cs="宋体"/>
          <w:b/>
          <w:color w:val="auto"/>
          <w:kern w:val="0"/>
          <w:szCs w:val="21"/>
          <w:highlight w:val="none"/>
          <w:lang w:val="en-US" w:eastAsia="zh-CN"/>
        </w:rPr>
        <w:t>响应文件</w:t>
      </w:r>
      <w:r>
        <w:rPr>
          <w:rFonts w:hint="eastAsia" w:ascii="宋体" w:hAnsi="宋体" w:eastAsia="宋体" w:cs="宋体"/>
          <w:b/>
          <w:color w:val="auto"/>
          <w:kern w:val="0"/>
          <w:szCs w:val="21"/>
          <w:highlight w:val="none"/>
        </w:rPr>
        <w:t>有效期</w:t>
      </w:r>
    </w:p>
    <w:p w14:paraId="20F6F45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17.1 </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从</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公告所规定的投标截止期之后开始生效，在</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须知前附表</w:t>
      </w:r>
      <w:r>
        <w:rPr>
          <w:rFonts w:hint="eastAsia" w:ascii="宋体" w:hAnsi="宋体" w:eastAsia="宋体" w:cs="宋体"/>
          <w:color w:val="auto"/>
          <w:kern w:val="0"/>
          <w:szCs w:val="21"/>
          <w:highlight w:val="none"/>
        </w:rPr>
        <w:t>第1</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项所规定的期限内保持有效。有效期不足将导致其</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文件被拒绝。</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有效期至合同完全履行止。</w:t>
      </w:r>
    </w:p>
    <w:p w14:paraId="4E7360E8">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17.2特殊情况下</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可于投标有效期满之前书面要求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同意延长有效期，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应在</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规定的期限内以书面形式予以答复。</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可以拒绝上述要求。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答复不明确或者逾期未答复的，均视为拒绝上述要求。对于接受该要求的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，既不要求也不允许其修改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w:t>
      </w:r>
    </w:p>
    <w:p w14:paraId="00A3228F">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18.投标报价</w:t>
      </w:r>
    </w:p>
    <w:p w14:paraId="09D2E5C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18.1 所有</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报价均以</w:t>
      </w:r>
      <w:r>
        <w:rPr>
          <w:rFonts w:hint="eastAsia" w:ascii="宋体" w:hAnsi="宋体" w:eastAsia="宋体" w:cs="宋体"/>
          <w:color w:val="auto"/>
          <w:kern w:val="0"/>
          <w:szCs w:val="21"/>
          <w:highlight w:val="none"/>
          <w:lang w:val="en-US" w:eastAsia="zh-CN"/>
        </w:rPr>
        <w:t>折扣率</w:t>
      </w:r>
      <w:r>
        <w:rPr>
          <w:rFonts w:hint="eastAsia" w:ascii="宋体" w:hAnsi="宋体" w:eastAsia="宋体" w:cs="宋体"/>
          <w:color w:val="auto"/>
          <w:kern w:val="0"/>
          <w:szCs w:val="21"/>
          <w:highlight w:val="none"/>
        </w:rPr>
        <w:t>为计算单位。</w:t>
      </w:r>
    </w:p>
    <w:p w14:paraId="748543C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要按开标一览表的内容填写。</w:t>
      </w:r>
    </w:p>
    <w:p w14:paraId="660F648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18.3 </w:t>
      </w:r>
      <w:r>
        <w:rPr>
          <w:rFonts w:hint="eastAsia" w:ascii="宋体" w:hAnsi="宋体" w:eastAsia="宋体" w:cs="宋体"/>
          <w:color w:val="auto"/>
          <w:spacing w:val="10"/>
          <w:kern w:val="0"/>
          <w:szCs w:val="21"/>
          <w:highlight w:val="none"/>
          <w:lang w:eastAsia="zh-CN"/>
        </w:rPr>
        <w:t>供应商</w:t>
      </w:r>
      <w:r>
        <w:rPr>
          <w:rFonts w:hint="eastAsia" w:ascii="宋体" w:hAnsi="宋体" w:eastAsia="宋体" w:cs="宋体"/>
          <w:color w:val="auto"/>
          <w:spacing w:val="10"/>
          <w:kern w:val="0"/>
          <w:szCs w:val="21"/>
          <w:highlight w:val="none"/>
        </w:rPr>
        <w:t>投报多标包的，应对每标包分别报价并分别填报开标一览表。</w:t>
      </w:r>
    </w:p>
    <w:p w14:paraId="202C821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18.4 开标一览表中标明的价格在政府采购合同执行过程中是固定不变的，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不得以任何理由予以变更。以可调整的价格提交的投标将被作为无效投标处理。</w:t>
      </w:r>
    </w:p>
    <w:p w14:paraId="5346BF3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18.5 </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不接受可选择的投标报价。</w:t>
      </w:r>
    </w:p>
    <w:p w14:paraId="3698E18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18.6 对于</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在开标一览表和</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文件中列出的赠送条款，在评审时不得作为价格评分因素或者调整评标价格的依据。</w:t>
      </w:r>
    </w:p>
    <w:p w14:paraId="5266E265">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eastAsia="宋体" w:cs="宋体"/>
          <w:b/>
          <w:color w:val="auto"/>
          <w:kern w:val="0"/>
          <w:szCs w:val="21"/>
          <w:highlight w:val="none"/>
        </w:rPr>
        <w:t>19.投标保证金</w:t>
      </w:r>
      <w:r>
        <w:rPr>
          <w:rFonts w:hint="eastAsia" w:ascii="宋体" w:hAnsi="宋体" w:eastAsia="宋体" w:cs="宋体"/>
          <w:b/>
          <w:color w:val="auto"/>
          <w:kern w:val="0"/>
          <w:szCs w:val="21"/>
          <w:highlight w:val="none"/>
          <w:lang w:eastAsia="zh-CN"/>
        </w:rPr>
        <w:t>（</w:t>
      </w:r>
      <w:r>
        <w:rPr>
          <w:rFonts w:hint="eastAsia" w:ascii="宋体" w:hAnsi="宋体" w:eastAsia="宋体" w:cs="宋体"/>
          <w:b/>
          <w:color w:val="auto"/>
          <w:kern w:val="0"/>
          <w:szCs w:val="21"/>
          <w:highlight w:val="none"/>
          <w:lang w:val="en-US" w:eastAsia="zh-CN"/>
        </w:rPr>
        <w:t>无</w:t>
      </w:r>
      <w:r>
        <w:rPr>
          <w:rFonts w:hint="eastAsia" w:ascii="宋体" w:hAnsi="宋体" w:eastAsia="宋体" w:cs="宋体"/>
          <w:b/>
          <w:color w:val="auto"/>
          <w:kern w:val="0"/>
          <w:szCs w:val="21"/>
          <w:highlight w:val="none"/>
          <w:lang w:eastAsia="zh-CN"/>
        </w:rPr>
        <w:t>）</w:t>
      </w:r>
    </w:p>
    <w:p w14:paraId="31D701CB">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val="en-US" w:eastAsia="zh-CN"/>
        </w:rPr>
      </w:pPr>
      <w:r>
        <w:rPr>
          <w:rFonts w:hint="eastAsia" w:ascii="宋体" w:hAnsi="宋体" w:eastAsia="宋体" w:cs="宋体"/>
          <w:b/>
          <w:color w:val="auto"/>
          <w:kern w:val="0"/>
          <w:szCs w:val="21"/>
          <w:highlight w:val="none"/>
        </w:rPr>
        <w:t>20.</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color w:val="auto"/>
          <w:kern w:val="0"/>
          <w:szCs w:val="21"/>
          <w:highlight w:val="none"/>
        </w:rPr>
        <w:t>文件的签署</w:t>
      </w:r>
      <w:r>
        <w:rPr>
          <w:rFonts w:hint="eastAsia" w:ascii="宋体" w:hAnsi="宋体" w:eastAsia="宋体" w:cs="宋体"/>
          <w:b/>
          <w:color w:val="auto"/>
          <w:kern w:val="0"/>
          <w:szCs w:val="21"/>
          <w:highlight w:val="none"/>
          <w:lang w:val="en-US" w:eastAsia="zh-CN"/>
        </w:rPr>
        <w:t>及其他规定</w:t>
      </w:r>
    </w:p>
    <w:p w14:paraId="08FA7F6D">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文件应按第六章“</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文件格式”进行编写，如有必要，可以增加附页，作为</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的组成部分。其中，</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报价一览表在满足</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14:paraId="06CA5ED3">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文件应当对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w:t>
      </w:r>
      <w:r>
        <w:rPr>
          <w:rFonts w:hint="eastAsia" w:ascii="宋体" w:hAnsi="宋体" w:eastAsia="宋体" w:cs="宋体"/>
          <w:color w:val="auto"/>
          <w:kern w:val="0"/>
          <w:szCs w:val="21"/>
          <w:highlight w:val="none"/>
          <w:lang w:val="en-US" w:eastAsia="zh-CN"/>
        </w:rPr>
        <w:t>供货期限</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w:t>
      </w:r>
      <w:r>
        <w:rPr>
          <w:rFonts w:hint="eastAsia" w:ascii="宋体" w:hAnsi="宋体" w:eastAsia="宋体" w:cs="宋体"/>
          <w:color w:val="auto"/>
          <w:kern w:val="0"/>
          <w:szCs w:val="21"/>
          <w:highlight w:val="none"/>
          <w:lang w:val="en-US" w:eastAsia="zh-CN"/>
        </w:rPr>
        <w:t>质量</w:t>
      </w:r>
      <w:r>
        <w:rPr>
          <w:rFonts w:hint="eastAsia" w:ascii="宋体" w:hAnsi="宋体" w:eastAsia="宋体" w:cs="宋体"/>
          <w:color w:val="auto"/>
          <w:kern w:val="0"/>
          <w:szCs w:val="21"/>
          <w:highlight w:val="none"/>
        </w:rPr>
        <w:t>要求、技术标准和要求、</w:t>
      </w:r>
      <w:r>
        <w:rPr>
          <w:rFonts w:hint="eastAsia" w:ascii="宋体" w:hAnsi="宋体" w:eastAsia="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705FCC70">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文件应用不褪色的材料书写或打印，并由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文件应尽量避免涂改、行间插字或删除，如果出现上述情况，改动之处应加盖单位公章或由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373EED5D">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文件份数见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文件正本和副本的封面上应清楚地标记“正本”或“副本”的字样。</w:t>
      </w:r>
    </w:p>
    <w:p w14:paraId="34F44DB9">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文件的具体装订要求见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0968E515">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四、</w:t>
      </w:r>
      <w:r>
        <w:rPr>
          <w:rFonts w:hint="eastAsia" w:ascii="宋体" w:hAnsi="宋体" w:eastAsia="宋体" w:cs="宋体"/>
          <w:b/>
          <w:bCs/>
          <w:color w:val="auto"/>
          <w:kern w:val="0"/>
          <w:sz w:val="28"/>
          <w:szCs w:val="28"/>
          <w:highlight w:val="none"/>
          <w:lang w:val="en-US" w:eastAsia="zh-CN"/>
        </w:rPr>
        <w:t>响应</w:t>
      </w:r>
      <w:r>
        <w:rPr>
          <w:rFonts w:hint="eastAsia" w:ascii="宋体" w:hAnsi="宋体" w:eastAsia="宋体" w:cs="宋体"/>
          <w:b/>
          <w:bCs/>
          <w:color w:val="auto"/>
          <w:kern w:val="0"/>
          <w:sz w:val="28"/>
          <w:szCs w:val="28"/>
          <w:highlight w:val="none"/>
        </w:rPr>
        <w:t>文件的递交</w:t>
      </w:r>
    </w:p>
    <w:p w14:paraId="3C140CBD">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21. </w:t>
      </w:r>
      <w:r>
        <w:rPr>
          <w:rFonts w:hint="eastAsia" w:ascii="宋体" w:hAnsi="宋体" w:eastAsia="宋体" w:cs="宋体"/>
          <w:b/>
          <w:color w:val="auto"/>
          <w:kern w:val="0"/>
          <w:szCs w:val="21"/>
          <w:highlight w:val="none"/>
          <w:lang w:val="en-US" w:eastAsia="zh-CN"/>
        </w:rPr>
        <w:t>响应</w:t>
      </w:r>
      <w:r>
        <w:rPr>
          <w:rFonts w:hint="eastAsia" w:ascii="宋体" w:hAnsi="宋体" w:eastAsia="宋体" w:cs="宋体"/>
          <w:b/>
          <w:color w:val="auto"/>
          <w:kern w:val="0"/>
          <w:szCs w:val="21"/>
          <w:highlight w:val="none"/>
        </w:rPr>
        <w:t>文件的密封、标记</w:t>
      </w:r>
    </w:p>
    <w:p w14:paraId="1260FA0E">
      <w:pPr>
        <w:keepNext w:val="0"/>
        <w:keepLines w:val="0"/>
        <w:pageBreakBefore w:val="0"/>
        <w:kinsoku/>
        <w:wordWrap/>
        <w:overflowPunct/>
        <w:topLinePunct w:val="0"/>
        <w:autoSpaceDE/>
        <w:autoSpaceDN/>
        <w:bidi w:val="0"/>
        <w:adjustRightInd/>
        <w:spacing w:line="360" w:lineRule="auto"/>
        <w:ind w:firstLine="424" w:firstLineChars="202"/>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21.1</w:t>
      </w:r>
      <w:r>
        <w:rPr>
          <w:rFonts w:hint="eastAsia" w:ascii="宋体" w:hAnsi="宋体" w:eastAsia="宋体" w:cs="宋体"/>
          <w:color w:val="auto"/>
          <w:highlight w:val="none"/>
        </w:rPr>
        <w:t>响应文件应密封包装，并在封套的封口处加盖供应商单位章或由供应商的法定代表人（单位负责人）或其授权的代理人签字。</w:t>
      </w:r>
    </w:p>
    <w:p w14:paraId="05AA0E67">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lang w:eastAsia="zh-CN"/>
        </w:rPr>
        <w:t xml:space="preserve"> 未按本章第2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lang w:eastAsia="zh-CN"/>
        </w:rPr>
        <w:t>.1项要求密封的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highlight w:val="none"/>
          <w:lang w:eastAsia="zh-CN"/>
        </w:rPr>
        <w:t>文件，采购人不予受理。</w:t>
      </w:r>
    </w:p>
    <w:p w14:paraId="22BFAEA8">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22. </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b/>
          <w:color w:val="auto"/>
          <w:kern w:val="0"/>
          <w:szCs w:val="21"/>
          <w:highlight w:val="none"/>
        </w:rPr>
        <w:t>文件的递交</w:t>
      </w:r>
    </w:p>
    <w:p w14:paraId="230162DA">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 xml:space="preserve">.1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应在规定的</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截止时间前</w:t>
      </w:r>
      <w:r>
        <w:rPr>
          <w:rFonts w:hint="eastAsia" w:ascii="宋体" w:hAnsi="宋体" w:eastAsia="宋体" w:cs="宋体"/>
          <w:color w:val="auto"/>
          <w:kern w:val="0"/>
          <w:szCs w:val="21"/>
          <w:highlight w:val="none"/>
          <w:lang w:eastAsia="zh-CN"/>
        </w:rPr>
        <w:t>递交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w:t>
      </w:r>
    </w:p>
    <w:p w14:paraId="5D0F7FD6">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递交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文件的地点：见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2C17CA9C">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.3 除</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须知前附表另有规定外，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所递交的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文件不予退还。</w:t>
      </w:r>
    </w:p>
    <w:p w14:paraId="7859BBE8">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.4 逾期送达的或者未送达指定地点的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文件，采购人不予受理。</w:t>
      </w:r>
    </w:p>
    <w:p w14:paraId="033163D3">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23. </w:t>
      </w:r>
      <w:r>
        <w:rPr>
          <w:rFonts w:hint="eastAsia" w:ascii="宋体" w:hAnsi="宋体" w:eastAsia="宋体" w:cs="宋体"/>
          <w:b/>
          <w:color w:val="auto"/>
          <w:kern w:val="0"/>
          <w:szCs w:val="21"/>
          <w:highlight w:val="none"/>
          <w:lang w:val="en-US" w:eastAsia="zh-CN"/>
        </w:rPr>
        <w:t>响应</w:t>
      </w:r>
      <w:r>
        <w:rPr>
          <w:rFonts w:hint="eastAsia" w:ascii="宋体" w:hAnsi="宋体" w:eastAsia="宋体" w:cs="宋体"/>
          <w:b/>
          <w:color w:val="auto"/>
          <w:kern w:val="0"/>
          <w:szCs w:val="21"/>
          <w:highlight w:val="none"/>
        </w:rPr>
        <w:t>文件的修改和撤回</w:t>
      </w:r>
    </w:p>
    <w:p w14:paraId="4BDB04A5">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23.1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在投标截止时间前，可以对所提交的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文件进行补充、修改或者撤回，并书面通知</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。补充、修改的内容和撤回通知应当按本须知要求签署、盖章、密封，并作为</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文件的组成部分。</w:t>
      </w:r>
    </w:p>
    <w:p w14:paraId="6FFEBDD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23.2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截止期后不得修改、撤回</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在投标截止期后修改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文件的，其投标将被拒绝。</w:t>
      </w:r>
    </w:p>
    <w:p w14:paraId="0B1B798B">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五</w:t>
      </w:r>
      <w:r>
        <w:rPr>
          <w:rFonts w:hint="eastAsia" w:ascii="宋体" w:hAnsi="宋体" w:eastAsia="宋体" w:cs="宋体"/>
          <w:b/>
          <w:bCs/>
          <w:color w:val="auto"/>
          <w:kern w:val="0"/>
          <w:sz w:val="28"/>
          <w:szCs w:val="28"/>
          <w:highlight w:val="none"/>
        </w:rPr>
        <w:t>、评标</w:t>
      </w:r>
    </w:p>
    <w:p w14:paraId="01D45B0B">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4</w:t>
      </w:r>
      <w:r>
        <w:rPr>
          <w:rFonts w:hint="eastAsia" w:ascii="宋体" w:hAnsi="宋体" w:eastAsia="宋体" w:cs="宋体"/>
          <w:b/>
          <w:bCs/>
          <w:color w:val="auto"/>
          <w:kern w:val="0"/>
          <w:szCs w:val="21"/>
          <w:highlight w:val="none"/>
        </w:rPr>
        <w:t>. 组建</w:t>
      </w:r>
      <w:r>
        <w:rPr>
          <w:rFonts w:hint="eastAsia" w:ascii="宋体" w:hAnsi="宋体" w:eastAsia="宋体" w:cs="宋体"/>
          <w:b/>
          <w:bCs/>
          <w:color w:val="auto"/>
          <w:kern w:val="0"/>
          <w:szCs w:val="21"/>
          <w:highlight w:val="none"/>
          <w:lang w:eastAsia="zh-CN"/>
        </w:rPr>
        <w:t>磋商小组</w:t>
      </w:r>
    </w:p>
    <w:p w14:paraId="08C9D3FE">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.1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由采购人代表和评审专家组成。成员由</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人以上单数组成。</w:t>
      </w:r>
      <w:r>
        <w:rPr>
          <w:rFonts w:hint="eastAsia" w:ascii="宋体" w:hAnsi="宋体" w:eastAsia="宋体" w:cs="宋体"/>
          <w:color w:val="auto"/>
          <w:szCs w:val="21"/>
          <w:highlight w:val="none"/>
        </w:rPr>
        <w:t>在开标后由</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对</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szCs w:val="21"/>
          <w:highlight w:val="none"/>
        </w:rPr>
        <w:t>进行审查、质疑、评估和比较，并做合理的建议。</w:t>
      </w:r>
    </w:p>
    <w:p w14:paraId="2F37401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成员要依法独立评审，并对评审意见承担个人责任。</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成员对需要共同认定的事项存在争议的，按照少数服从多数的原则</w:t>
      </w:r>
      <w:r>
        <w:rPr>
          <w:rFonts w:hint="eastAsia" w:ascii="宋体" w:hAnsi="宋体" w:eastAsia="宋体" w:cs="宋体"/>
          <w:color w:val="auto"/>
          <w:kern w:val="0"/>
          <w:szCs w:val="21"/>
          <w:highlight w:val="none"/>
        </w:rPr>
        <w:t>做</w:t>
      </w:r>
      <w:r>
        <w:rPr>
          <w:rFonts w:hint="eastAsia" w:ascii="宋体" w:hAnsi="宋体" w:eastAsia="宋体" w:cs="宋体"/>
          <w:color w:val="auto"/>
          <w:szCs w:val="21"/>
          <w:highlight w:val="none"/>
        </w:rPr>
        <w:t>出结论。持不同意见的</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成员应当在评</w:t>
      </w:r>
      <w:r>
        <w:rPr>
          <w:rFonts w:hint="eastAsia" w:ascii="宋体" w:hAnsi="宋体" w:eastAsia="宋体" w:cs="宋体"/>
          <w:color w:val="auto"/>
          <w:szCs w:val="21"/>
          <w:highlight w:val="none"/>
          <w:lang w:val="en-US" w:eastAsia="zh-CN"/>
        </w:rPr>
        <w:t>审</w:t>
      </w:r>
      <w:r>
        <w:rPr>
          <w:rFonts w:hint="eastAsia" w:ascii="宋体" w:hAnsi="宋体" w:eastAsia="宋体" w:cs="宋体"/>
          <w:color w:val="auto"/>
          <w:szCs w:val="21"/>
          <w:highlight w:val="none"/>
        </w:rPr>
        <w:t>报告上签署不同意见</w:t>
      </w:r>
      <w:r>
        <w:rPr>
          <w:rFonts w:hint="eastAsia" w:ascii="宋体" w:hAnsi="宋体" w:eastAsia="宋体" w:cs="宋体"/>
          <w:color w:val="auto"/>
          <w:kern w:val="0"/>
          <w:szCs w:val="21"/>
          <w:highlight w:val="none"/>
        </w:rPr>
        <w:t>并说明</w:t>
      </w:r>
      <w:r>
        <w:rPr>
          <w:rFonts w:hint="eastAsia" w:ascii="宋体" w:hAnsi="宋体" w:eastAsia="宋体" w:cs="宋体"/>
          <w:color w:val="auto"/>
          <w:szCs w:val="21"/>
          <w:highlight w:val="none"/>
        </w:rPr>
        <w:t>理由，否则视为同意。</w:t>
      </w:r>
    </w:p>
    <w:p w14:paraId="7D256252">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2</w:t>
      </w:r>
      <w:r>
        <w:rPr>
          <w:rFonts w:hint="eastAsia" w:ascii="宋体" w:hAnsi="宋体" w:eastAsia="宋体" w:cs="宋体"/>
          <w:b/>
          <w:bCs/>
          <w:color w:val="auto"/>
          <w:szCs w:val="21"/>
          <w:highlight w:val="none"/>
          <w:lang w:val="en-US" w:eastAsia="zh-CN"/>
        </w:rPr>
        <w:t>5</w:t>
      </w:r>
      <w:r>
        <w:rPr>
          <w:rFonts w:hint="eastAsia" w:ascii="宋体" w:hAnsi="宋体" w:eastAsia="宋体" w:cs="宋体"/>
          <w:b/>
          <w:bCs/>
          <w:color w:val="auto"/>
          <w:szCs w:val="21"/>
          <w:highlight w:val="none"/>
        </w:rPr>
        <w:t xml:space="preserve">. </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b/>
          <w:bCs/>
          <w:color w:val="auto"/>
          <w:szCs w:val="21"/>
          <w:highlight w:val="none"/>
        </w:rPr>
        <w:t>文件的初审</w:t>
      </w:r>
    </w:p>
    <w:p w14:paraId="50CA12E8">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.1对所有</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的评估，都采用相同的程序和标准。评标过程将严格按照</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文件的要求和条件进行。</w:t>
      </w:r>
    </w:p>
    <w:p w14:paraId="4D21098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.2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将对</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进行检查，以确定</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是否完整、有无计算上的错误、文件是否已正确签署等。</w:t>
      </w:r>
    </w:p>
    <w:p w14:paraId="710CC8D3">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 </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报价出现前后不一致的，除</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文件另有规定外，修正错误的原则如下：</w:t>
      </w:r>
    </w:p>
    <w:p w14:paraId="68570D51">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lang w:val="en-US" w:eastAsia="zh-CN"/>
        </w:rPr>
        <w:t>响应文件</w:t>
      </w:r>
      <w:r>
        <w:rPr>
          <w:rFonts w:hint="eastAsia" w:ascii="宋体" w:hAnsi="宋体" w:eastAsia="宋体" w:cs="宋体"/>
          <w:color w:val="auto"/>
          <w:sz w:val="21"/>
          <w:szCs w:val="21"/>
          <w:highlight w:val="none"/>
          <w:shd w:val="clear" w:color="auto" w:fill="FFFFFF"/>
        </w:rPr>
        <w:t>开标一览表（报价表）内容与</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 w:val="21"/>
          <w:szCs w:val="21"/>
          <w:highlight w:val="none"/>
          <w:shd w:val="clear" w:color="auto" w:fill="FFFFFF"/>
        </w:rPr>
        <w:t>中相应内容不一致的，以开标一览表（报价表）为准；</w:t>
      </w:r>
    </w:p>
    <w:p w14:paraId="1ADAAFA0">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shd w:val="clear" w:color="auto" w:fill="FFFFFF"/>
        </w:rPr>
        <w:t>大写金额</w:t>
      </w:r>
      <w:r>
        <w:rPr>
          <w:rFonts w:hint="eastAsia" w:ascii="宋体" w:hAnsi="宋体" w:eastAsia="宋体" w:cs="宋体"/>
          <w:color w:val="auto"/>
          <w:sz w:val="21"/>
          <w:szCs w:val="21"/>
          <w:highlight w:val="none"/>
        </w:rPr>
        <w:t>与</w:t>
      </w:r>
      <w:r>
        <w:rPr>
          <w:rFonts w:hint="eastAsia" w:ascii="宋体" w:hAnsi="宋体" w:eastAsia="宋体" w:cs="宋体"/>
          <w:color w:val="auto"/>
          <w:sz w:val="21"/>
          <w:szCs w:val="21"/>
          <w:highlight w:val="none"/>
          <w:shd w:val="clear" w:color="auto" w:fill="FFFFFF"/>
        </w:rPr>
        <w:t>小写金额不一致的，以大写金额为准；</w:t>
      </w:r>
    </w:p>
    <w:p w14:paraId="6C7DF07D">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shd w:val="clear" w:color="auto" w:fill="FFFFFF"/>
        </w:rPr>
        <w:t>单价金额小数点或者百分比有明显错位的，以开标一览表的总价为准，并修改单价；</w:t>
      </w:r>
    </w:p>
    <w:p w14:paraId="1F9FF374">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shd w:val="clear" w:color="auto" w:fill="FFFFFF"/>
        </w:rPr>
        <w:t>总价金额与按单价汇总金额不一致的，以单价金额计算结果为准。</w:t>
      </w:r>
    </w:p>
    <w:p w14:paraId="7C4CB3D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.3.5对不同文字文本</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文件的解释发生异议的，以中文文本为准。</w:t>
      </w:r>
    </w:p>
    <w:p w14:paraId="59EED92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.3.6同时出现两种以上不一致的，按照前款规定的顺序修正。修正后的报价按照财政部87号令第五十一条第二款的规定经</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确认后产生约束力，</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不确认的，其投标无效。</w:t>
      </w:r>
    </w:p>
    <w:p w14:paraId="747D0E5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 资格性检查和符合性检查。</w:t>
      </w:r>
    </w:p>
    <w:p w14:paraId="52F59A10">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.4.1</w:t>
      </w:r>
      <w:r>
        <w:rPr>
          <w:rFonts w:hint="eastAsia" w:ascii="宋体" w:hAnsi="宋体" w:eastAsia="宋体" w:cs="宋体"/>
          <w:color w:val="auto"/>
          <w:szCs w:val="21"/>
          <w:highlight w:val="none"/>
        </w:rPr>
        <w:t>资格性检查。依据法规政策和</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文件的规定，在对</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详细评估之前，采购人将依据</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提交的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公告第二项和</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文件第三章4.</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应提交的证明文件所述的资格标准对</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进行资格审查,以确定其是否具备</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资格。如果</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不具备</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资格、不满足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文件所规定的资格标准或提供资格证明文件不全,其投标将被作为无效</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。在审查过程中，采购人有权要求</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文件的规定提供相关资格证明材料的原件以供审查。</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应在规定的时限内提供。</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拒不提供的，或者不能在规定时限内提供的，视为其不具备该资格条件。</w:t>
      </w:r>
    </w:p>
    <w:p w14:paraId="35C9684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.4.2 资格审查后合格的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不足3家的，不得评标。</w:t>
      </w:r>
    </w:p>
    <w:p w14:paraId="1249BC3D">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.4.3 符合性检查。依据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将从</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的有效性、完整性和对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文件的响应程度进行审查，以确定是否符合对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文件的实质性要求作出响应。对没有实质性响应的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文件将不进行评估，其投标被作为无效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。凡有下列情况之一者，</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文件也将被视为未实质性响应</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w:t>
      </w:r>
    </w:p>
    <w:p w14:paraId="10779D1D">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未按规定签字、盖章的。</w:t>
      </w:r>
    </w:p>
    <w:p w14:paraId="5FFCB899">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未能出具有效身份证明，或与身份不符的。</w:t>
      </w:r>
    </w:p>
    <w:p w14:paraId="3095CDCE">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（3）资格证明文件不全的，或不符合</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文件标明的资格要求的。</w:t>
      </w:r>
    </w:p>
    <w:p w14:paraId="41FCC42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有效期、</w:t>
      </w:r>
      <w:r>
        <w:rPr>
          <w:rFonts w:hint="eastAsia" w:ascii="宋体" w:hAnsi="宋体" w:eastAsia="宋体" w:cs="宋体"/>
          <w:color w:val="auto"/>
          <w:szCs w:val="21"/>
          <w:highlight w:val="none"/>
          <w:lang w:val="en-US" w:eastAsia="zh-CN"/>
        </w:rPr>
        <w:t>供货期限</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质量</w:t>
      </w:r>
      <w:r>
        <w:rPr>
          <w:rFonts w:hint="eastAsia" w:ascii="宋体" w:hAnsi="宋体" w:eastAsia="宋体" w:cs="宋体"/>
          <w:color w:val="auto"/>
          <w:szCs w:val="21"/>
          <w:highlight w:val="none"/>
        </w:rPr>
        <w:t>等不满足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文件要求的。</w:t>
      </w:r>
    </w:p>
    <w:p w14:paraId="769460DC">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（5）未按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文件提供的格式填列、项目不齐全或内容虚假的。</w:t>
      </w:r>
    </w:p>
    <w:p w14:paraId="1E471BD3">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的实质性内容未使用中文表述，或意思表述不明确，或前后矛盾，或使用计量单位不符合</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文件要求的。</w:t>
      </w:r>
    </w:p>
    <w:p w14:paraId="247E7DF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的关键内容字迹模糊、无法辨认,或</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szCs w:val="21"/>
          <w:highlight w:val="none"/>
        </w:rPr>
        <w:t>文件中经修正的内容字迹模糊无法辩认，或修改处未按规定签名盖章的。</w:t>
      </w:r>
    </w:p>
    <w:p w14:paraId="6DD6D00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（8）</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内容未按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文件响应的。</w:t>
      </w:r>
    </w:p>
    <w:p w14:paraId="6873DFD5">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（9）不符合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文件中规定的其它实质性条款。</w:t>
      </w:r>
    </w:p>
    <w:p w14:paraId="2D6BBCC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决定投标的响应性只根据</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文件本身的内容，而不寻求其他的外部证据。</w:t>
      </w:r>
    </w:p>
    <w:p w14:paraId="028A0315">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.4.4 对资格性检查和符合性检查不合格的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，将</w:t>
      </w:r>
      <w:r>
        <w:rPr>
          <w:rFonts w:hint="eastAsia" w:ascii="宋体" w:hAnsi="宋体" w:eastAsia="宋体" w:cs="宋体"/>
          <w:color w:val="auto"/>
          <w:kern w:val="0"/>
          <w:szCs w:val="21"/>
          <w:highlight w:val="none"/>
          <w:lang w:val="en-US" w:eastAsia="zh-CN"/>
        </w:rPr>
        <w:t>通过评标系统</w:t>
      </w:r>
      <w:r>
        <w:rPr>
          <w:rFonts w:hint="eastAsia" w:ascii="宋体" w:hAnsi="宋体" w:eastAsia="宋体" w:cs="宋体"/>
          <w:color w:val="auto"/>
          <w:kern w:val="0"/>
          <w:szCs w:val="21"/>
          <w:highlight w:val="none"/>
        </w:rPr>
        <w:t>告知其理由。</w:t>
      </w:r>
    </w:p>
    <w:p w14:paraId="787F8DD5">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 在评审过程中，</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发现</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有下列情形之一的，视为</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串通投标，其</w:t>
      </w:r>
      <w:r>
        <w:rPr>
          <w:rFonts w:hint="eastAsia" w:ascii="宋体" w:hAnsi="宋体" w:eastAsia="宋体" w:cs="宋体"/>
          <w:color w:val="auto"/>
          <w:sz w:val="21"/>
          <w:szCs w:val="21"/>
          <w:highlight w:val="none"/>
          <w:lang w:val="en-US" w:eastAsia="zh-CN"/>
        </w:rPr>
        <w:t>磋商</w:t>
      </w:r>
      <w:r>
        <w:rPr>
          <w:rFonts w:hint="eastAsia" w:ascii="宋体" w:hAnsi="宋体" w:eastAsia="宋体" w:cs="宋体"/>
          <w:color w:val="auto"/>
          <w:sz w:val="21"/>
          <w:szCs w:val="21"/>
          <w:highlight w:val="none"/>
        </w:rPr>
        <w:t>无效：</w:t>
      </w:r>
    </w:p>
    <w:p w14:paraId="6EB3F1E5">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.5.1不同</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异常一致。</w:t>
      </w:r>
    </w:p>
    <w:p w14:paraId="520E1417">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.5.2不同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由同一单位或者个人编制；</w:t>
      </w:r>
    </w:p>
    <w:p w14:paraId="6E5F537F">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.5.3不同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委托同一单位或者个人办理投标事宜；</w:t>
      </w:r>
    </w:p>
    <w:p w14:paraId="65056B66">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.5.4不同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载明的项目管理成员或者联系人员为同一人；　　</w:t>
      </w:r>
    </w:p>
    <w:p w14:paraId="09540E23">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.5.5不同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相互混装；</w:t>
      </w:r>
    </w:p>
    <w:p w14:paraId="7943C61D">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.5.6不同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的投标保证金从同一单位或者个人的账户转出（若收取）。</w:t>
      </w:r>
    </w:p>
    <w:p w14:paraId="2B7774B7">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.5.7 有证据证明</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串通投标的其他情形的；</w:t>
      </w:r>
    </w:p>
    <w:p w14:paraId="0F52AFC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.5.8 不同</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制作机器码一致；</w:t>
      </w:r>
    </w:p>
    <w:p w14:paraId="6FF5DF3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 xml:space="preserve">.5.9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认定的其他串通投标情形。</w:t>
      </w:r>
    </w:p>
    <w:p w14:paraId="7CFE49DB">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6</w:t>
      </w:r>
      <w:r>
        <w:rPr>
          <w:rFonts w:hint="eastAsia" w:ascii="宋体" w:hAnsi="宋体" w:eastAsia="宋体" w:cs="宋体"/>
          <w:b/>
          <w:bCs/>
          <w:color w:val="auto"/>
          <w:kern w:val="0"/>
          <w:szCs w:val="21"/>
          <w:highlight w:val="none"/>
        </w:rPr>
        <w:t xml:space="preserve">. </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文件的澄清</w:t>
      </w:r>
    </w:p>
    <w:p w14:paraId="17ABD18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文件中含义不明确、同类问题表述不一致或者有明显文字和计算错误的内容，</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可以书面形式要求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作出必要的澄清。</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的澄清应当在</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规定的时间内以书面形式作出，由其</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代表签字。但澄清事项不得超出</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文件的范围，不得实质性改变</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文件的内容，不得通过澄清等方式对</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实行差别对待。</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不得接受</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主动提出的澄清和解释。</w:t>
      </w:r>
    </w:p>
    <w:p w14:paraId="37B06897">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7</w:t>
      </w:r>
      <w:r>
        <w:rPr>
          <w:rFonts w:hint="eastAsia" w:ascii="宋体" w:hAnsi="宋体" w:eastAsia="宋体" w:cs="宋体"/>
          <w:b/>
          <w:bCs/>
          <w:color w:val="auto"/>
          <w:kern w:val="0"/>
          <w:szCs w:val="21"/>
          <w:highlight w:val="none"/>
        </w:rPr>
        <w:t>. 比较与评价</w:t>
      </w:r>
    </w:p>
    <w:p w14:paraId="7821AE00">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 xml:space="preserve">.1 </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将按本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文件规定的评标方法与标准，对资格性检查和符合性检查合格的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 w:val="21"/>
          <w:szCs w:val="21"/>
          <w:highlight w:val="none"/>
        </w:rPr>
        <w:t>进行商务和技术评估，综合比较与评价。</w:t>
      </w:r>
    </w:p>
    <w:p w14:paraId="106BCFA2">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.2对漏（缺）报项的处理：</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文件中要求列入报价的费用（含配置、功能），漏（缺）报的视同已含在投标总价中。</w:t>
      </w:r>
    </w:p>
    <w:p w14:paraId="2C46633B">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认为</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的报价明显低于其他通过符合性审查</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不能证明其报价合理性的，</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应当将其作为无效投标处理。</w:t>
      </w:r>
    </w:p>
    <w:p w14:paraId="30B80D96">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8</w:t>
      </w:r>
      <w:r>
        <w:rPr>
          <w:rFonts w:hint="eastAsia" w:ascii="宋体" w:hAnsi="宋体" w:eastAsia="宋体" w:cs="宋体"/>
          <w:b/>
          <w:bCs/>
          <w:color w:val="auto"/>
          <w:kern w:val="0"/>
          <w:szCs w:val="21"/>
          <w:highlight w:val="none"/>
        </w:rPr>
        <w:t>. 评标过程及保密原则</w:t>
      </w:r>
    </w:p>
    <w:p w14:paraId="2653547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.1 凡与本次</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有关人员对属于审查、澄清、评价和比较</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的有关资料以及定标意向等，均不得向</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或其他人员透露。否则,将按有关规定追究相关人员的责任。</w:t>
      </w:r>
    </w:p>
    <w:p w14:paraId="669DACB5">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.2 在评标期间，</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试图影响或干预评审的任何行为，将导致其</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，并承担相应的法律责任。</w:t>
      </w:r>
    </w:p>
    <w:p w14:paraId="3822DA9A">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lang w:val="en-US" w:eastAsia="zh-CN"/>
        </w:rPr>
        <w:t>29</w:t>
      </w:r>
      <w:r>
        <w:rPr>
          <w:rFonts w:hint="eastAsia" w:ascii="宋体" w:hAnsi="宋体" w:eastAsia="宋体" w:cs="宋体"/>
          <w:b/>
          <w:color w:val="auto"/>
          <w:kern w:val="0"/>
          <w:szCs w:val="21"/>
          <w:highlight w:val="none"/>
        </w:rPr>
        <w:t>.评标异议登记</w:t>
      </w:r>
    </w:p>
    <w:p w14:paraId="5D87B32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工作人员对评审专家等相关人员在评审过程中发现、提出的异议进行逐项登记。</w:t>
      </w:r>
    </w:p>
    <w:p w14:paraId="17BB06DE">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六</w:t>
      </w:r>
      <w:r>
        <w:rPr>
          <w:rFonts w:hint="eastAsia" w:ascii="宋体" w:hAnsi="宋体" w:eastAsia="宋体" w:cs="宋体"/>
          <w:b/>
          <w:bCs/>
          <w:color w:val="auto"/>
          <w:kern w:val="0"/>
          <w:sz w:val="28"/>
          <w:szCs w:val="28"/>
          <w:highlight w:val="none"/>
        </w:rPr>
        <w:t>、定标</w:t>
      </w:r>
    </w:p>
    <w:p w14:paraId="69E09493">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0</w:t>
      </w:r>
      <w:r>
        <w:rPr>
          <w:rFonts w:hint="eastAsia" w:ascii="宋体" w:hAnsi="宋体" w:eastAsia="宋体" w:cs="宋体"/>
          <w:b/>
          <w:bCs/>
          <w:color w:val="auto"/>
          <w:kern w:val="0"/>
          <w:szCs w:val="21"/>
          <w:highlight w:val="none"/>
        </w:rPr>
        <w:t>. 定标原则</w:t>
      </w:r>
    </w:p>
    <w:p w14:paraId="4E6DB8B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.1 最低投标价不作为</w:t>
      </w:r>
      <w:r>
        <w:rPr>
          <w:rFonts w:hint="eastAsia" w:ascii="宋体" w:hAnsi="宋体" w:eastAsia="宋体" w:cs="宋体"/>
          <w:bCs/>
          <w:color w:val="auto"/>
          <w:kern w:val="0"/>
          <w:szCs w:val="21"/>
          <w:highlight w:val="none"/>
          <w:lang w:val="en-US" w:eastAsia="zh-CN"/>
        </w:rPr>
        <w:t>成交</w:t>
      </w:r>
      <w:r>
        <w:rPr>
          <w:rFonts w:hint="eastAsia" w:ascii="宋体" w:hAnsi="宋体" w:eastAsia="宋体" w:cs="宋体"/>
          <w:bCs/>
          <w:color w:val="auto"/>
          <w:kern w:val="0"/>
          <w:szCs w:val="21"/>
          <w:highlight w:val="none"/>
        </w:rPr>
        <w:t>的保证。</w:t>
      </w:r>
    </w:p>
    <w:p w14:paraId="16BFE14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.2 确定实质上响应</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文件且满足下列条件的为</w:t>
      </w:r>
      <w:r>
        <w:rPr>
          <w:rFonts w:hint="eastAsia" w:ascii="宋体" w:hAnsi="宋体" w:eastAsia="宋体" w:cs="宋体"/>
          <w:bCs/>
          <w:color w:val="auto"/>
          <w:kern w:val="0"/>
          <w:szCs w:val="21"/>
          <w:highlight w:val="none"/>
          <w:lang w:eastAsia="zh-CN"/>
        </w:rPr>
        <w:t>成交候选供应商</w:t>
      </w:r>
      <w:r>
        <w:rPr>
          <w:rFonts w:hint="eastAsia" w:ascii="宋体" w:hAnsi="宋体" w:eastAsia="宋体" w:cs="宋体"/>
          <w:bCs/>
          <w:color w:val="auto"/>
          <w:kern w:val="0"/>
          <w:szCs w:val="21"/>
          <w:highlight w:val="none"/>
        </w:rPr>
        <w:t>（或</w:t>
      </w:r>
      <w:r>
        <w:rPr>
          <w:rFonts w:hint="eastAsia" w:ascii="宋体" w:hAnsi="宋体" w:eastAsia="宋体" w:cs="宋体"/>
          <w:bCs/>
          <w:color w:val="auto"/>
          <w:kern w:val="0"/>
          <w:szCs w:val="21"/>
          <w:highlight w:val="none"/>
          <w:lang w:eastAsia="zh-CN"/>
        </w:rPr>
        <w:t>成交供应商</w:t>
      </w:r>
      <w:r>
        <w:rPr>
          <w:rFonts w:hint="eastAsia" w:ascii="宋体" w:hAnsi="宋体" w:eastAsia="宋体" w:cs="宋体"/>
          <w:bCs/>
          <w:color w:val="auto"/>
          <w:kern w:val="0"/>
          <w:szCs w:val="21"/>
          <w:highlight w:val="none"/>
        </w:rPr>
        <w:t>）</w:t>
      </w:r>
    </w:p>
    <w:p w14:paraId="5CA390FB">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bookmarkStart w:id="45" w:name="_Toc32200"/>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.2.1</w:t>
      </w:r>
      <w:bookmarkEnd w:id="45"/>
      <w:r>
        <w:rPr>
          <w:rFonts w:hint="eastAsia" w:ascii="宋体" w:hAnsi="宋体" w:eastAsia="宋体" w:cs="宋体"/>
          <w:bCs/>
          <w:color w:val="auto"/>
          <w:kern w:val="0"/>
          <w:szCs w:val="21"/>
          <w:highlight w:val="none"/>
        </w:rPr>
        <w:t>本次评标采用</w:t>
      </w:r>
      <w:r>
        <w:rPr>
          <w:rFonts w:hint="eastAsia" w:ascii="宋体" w:hAnsi="宋体" w:eastAsia="宋体" w:cs="宋体"/>
          <w:color w:val="auto"/>
          <w:szCs w:val="21"/>
          <w:highlight w:val="none"/>
        </w:rPr>
        <w:t>综合评分法，是指响应文件满足采购文件全部实质性要求，且按照评审因素的量化指标评审得分最高的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为</w:t>
      </w:r>
      <w:r>
        <w:rPr>
          <w:rFonts w:hint="eastAsia" w:ascii="宋体" w:hAnsi="宋体" w:eastAsia="宋体" w:cs="宋体"/>
          <w:color w:val="auto"/>
          <w:szCs w:val="21"/>
          <w:highlight w:val="none"/>
          <w:lang w:eastAsia="zh-CN"/>
        </w:rPr>
        <w:t>成交</w:t>
      </w:r>
      <w:r>
        <w:rPr>
          <w:rFonts w:hint="eastAsia" w:ascii="宋体" w:hAnsi="宋体" w:eastAsia="宋体" w:cs="宋体"/>
          <w:color w:val="auto"/>
          <w:szCs w:val="21"/>
          <w:highlight w:val="none"/>
          <w:lang w:val="en-US" w:eastAsia="zh-CN"/>
        </w:rPr>
        <w:t>供应商</w:t>
      </w:r>
      <w:r>
        <w:rPr>
          <w:rFonts w:hint="eastAsia" w:ascii="宋体" w:hAnsi="宋体" w:eastAsia="宋体" w:cs="宋体"/>
          <w:color w:val="auto"/>
          <w:szCs w:val="21"/>
          <w:highlight w:val="none"/>
        </w:rPr>
        <w:t>的评标方法。</w:t>
      </w:r>
    </w:p>
    <w:p w14:paraId="7BA61DCE">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采用综合评分法的，评标结果按评审后得分由高到低顺序排列。</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文件全部实质性要求，且按照评审因素的量化指标评审得分最高的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为排名第一的</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，以此类推。得分相同的，按</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报价由低到高顺序排列。得分且</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报价相同的，按技术部分得分顺序排列。得分与技术指标优劣均相同的，通过随机抽取产生。</w:t>
      </w:r>
    </w:p>
    <w:p w14:paraId="7AF870CF">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1</w:t>
      </w:r>
      <w:r>
        <w:rPr>
          <w:rFonts w:hint="eastAsia" w:ascii="宋体" w:hAnsi="宋体" w:eastAsia="宋体" w:cs="宋体"/>
          <w:b/>
          <w:bCs/>
          <w:color w:val="auto"/>
          <w:kern w:val="0"/>
          <w:szCs w:val="21"/>
          <w:highlight w:val="none"/>
        </w:rPr>
        <w:t>. 确定</w:t>
      </w:r>
      <w:r>
        <w:rPr>
          <w:rFonts w:hint="eastAsia" w:ascii="宋体" w:hAnsi="宋体" w:eastAsia="宋体" w:cs="宋体"/>
          <w:b/>
          <w:bCs/>
          <w:color w:val="auto"/>
          <w:kern w:val="0"/>
          <w:szCs w:val="21"/>
          <w:highlight w:val="none"/>
          <w:lang w:eastAsia="zh-CN"/>
        </w:rPr>
        <w:t>成交供应商</w:t>
      </w:r>
      <w:r>
        <w:rPr>
          <w:rFonts w:hint="eastAsia" w:ascii="宋体" w:hAnsi="宋体" w:eastAsia="宋体" w:cs="宋体"/>
          <w:b/>
          <w:bCs/>
          <w:color w:val="auto"/>
          <w:kern w:val="0"/>
          <w:szCs w:val="21"/>
          <w:highlight w:val="none"/>
        </w:rPr>
        <w:t>和</w:t>
      </w:r>
      <w:r>
        <w:rPr>
          <w:rFonts w:hint="eastAsia" w:ascii="宋体" w:hAnsi="宋体" w:eastAsia="宋体" w:cs="宋体"/>
          <w:b/>
          <w:bCs/>
          <w:color w:val="auto"/>
          <w:kern w:val="0"/>
          <w:szCs w:val="21"/>
          <w:highlight w:val="none"/>
          <w:lang w:eastAsia="zh-CN"/>
        </w:rPr>
        <w:t>成交候选供应商</w:t>
      </w:r>
    </w:p>
    <w:p w14:paraId="2278CA87">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bCs/>
          <w:color w:val="auto"/>
          <w:kern w:val="0"/>
          <w:szCs w:val="21"/>
          <w:highlight w:val="none"/>
        </w:rPr>
        <w:t>本项目由采购人授权</w:t>
      </w:r>
      <w:r>
        <w:rPr>
          <w:rFonts w:hint="eastAsia" w:ascii="宋体" w:hAnsi="宋体" w:eastAsia="宋体" w:cs="宋体"/>
          <w:bCs/>
          <w:color w:val="auto"/>
          <w:kern w:val="0"/>
          <w:szCs w:val="21"/>
          <w:highlight w:val="none"/>
          <w:lang w:eastAsia="zh-CN"/>
        </w:rPr>
        <w:t>磋商小组</w:t>
      </w:r>
      <w:r>
        <w:rPr>
          <w:rFonts w:hint="eastAsia" w:ascii="宋体" w:hAnsi="宋体" w:cs="宋体"/>
          <w:bCs/>
          <w:color w:val="auto"/>
          <w:kern w:val="0"/>
          <w:szCs w:val="21"/>
          <w:highlight w:val="none"/>
          <w:lang w:eastAsia="zh-CN"/>
        </w:rPr>
        <w:t>确定一名成交供应商</w:t>
      </w:r>
      <w:r>
        <w:rPr>
          <w:rFonts w:hint="eastAsia" w:ascii="宋体" w:hAnsi="宋体" w:eastAsia="宋体" w:cs="宋体"/>
          <w:bCs/>
          <w:color w:val="auto"/>
          <w:kern w:val="0"/>
          <w:szCs w:val="21"/>
          <w:highlight w:val="none"/>
        </w:rPr>
        <w:t>并推荐</w:t>
      </w:r>
      <w:r>
        <w:rPr>
          <w:rFonts w:hint="eastAsia" w:ascii="宋体" w:hAnsi="宋体" w:eastAsia="宋体" w:cs="宋体"/>
          <w:bCs/>
          <w:color w:val="auto"/>
          <w:kern w:val="0"/>
          <w:szCs w:val="21"/>
          <w:highlight w:val="none"/>
          <w:lang w:val="en-US" w:eastAsia="zh-CN"/>
        </w:rPr>
        <w:t>一</w:t>
      </w:r>
      <w:r>
        <w:rPr>
          <w:rFonts w:hint="eastAsia" w:ascii="宋体" w:hAnsi="宋体" w:eastAsia="宋体" w:cs="宋体"/>
          <w:bCs/>
          <w:color w:val="auto"/>
          <w:kern w:val="0"/>
          <w:szCs w:val="21"/>
          <w:highlight w:val="none"/>
        </w:rPr>
        <w:t>名</w:t>
      </w:r>
      <w:r>
        <w:rPr>
          <w:rFonts w:hint="eastAsia" w:ascii="宋体" w:hAnsi="宋体" w:eastAsia="宋体" w:cs="宋体"/>
          <w:bCs/>
          <w:color w:val="auto"/>
          <w:kern w:val="0"/>
          <w:szCs w:val="21"/>
          <w:highlight w:val="none"/>
          <w:lang w:eastAsia="zh-CN"/>
        </w:rPr>
        <w:t>成交候选供应商</w:t>
      </w:r>
      <w:r>
        <w:rPr>
          <w:rFonts w:hint="eastAsia" w:ascii="宋体" w:hAnsi="宋体" w:eastAsia="宋体" w:cs="宋体"/>
          <w:color w:val="auto"/>
          <w:kern w:val="0"/>
          <w:szCs w:val="21"/>
          <w:highlight w:val="none"/>
        </w:rPr>
        <w:t>。</w:t>
      </w:r>
    </w:p>
    <w:p w14:paraId="610A72DB">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2</w:t>
      </w:r>
      <w:r>
        <w:rPr>
          <w:rFonts w:hint="eastAsia" w:ascii="宋体" w:hAnsi="宋体" w:eastAsia="宋体" w:cs="宋体"/>
          <w:b/>
          <w:bCs/>
          <w:color w:val="auto"/>
          <w:kern w:val="0"/>
          <w:szCs w:val="21"/>
          <w:highlight w:val="none"/>
        </w:rPr>
        <w:t xml:space="preserve">. </w:t>
      </w:r>
      <w:r>
        <w:rPr>
          <w:rFonts w:hint="eastAsia" w:ascii="宋体" w:hAnsi="宋体" w:eastAsia="宋体" w:cs="宋体"/>
          <w:b/>
          <w:bCs/>
          <w:color w:val="auto"/>
          <w:kern w:val="0"/>
          <w:szCs w:val="21"/>
          <w:highlight w:val="none"/>
          <w:lang w:eastAsia="zh-CN"/>
        </w:rPr>
        <w:t>成交通知书</w:t>
      </w:r>
      <w:r>
        <w:rPr>
          <w:rFonts w:hint="eastAsia" w:ascii="宋体" w:hAnsi="宋体" w:eastAsia="宋体" w:cs="宋体"/>
          <w:b/>
          <w:bCs/>
          <w:color w:val="auto"/>
          <w:kern w:val="0"/>
          <w:szCs w:val="21"/>
          <w:highlight w:val="none"/>
        </w:rPr>
        <w:t>及中标公告</w:t>
      </w:r>
    </w:p>
    <w:p w14:paraId="08AED65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.1评审结束后，</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人将</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lang w:val="en-US" w:eastAsia="zh-CN"/>
        </w:rPr>
        <w:t>供应商</w:t>
      </w:r>
      <w:r>
        <w:rPr>
          <w:rFonts w:hint="eastAsia" w:ascii="宋体" w:hAnsi="宋体" w:eastAsia="宋体" w:cs="宋体"/>
          <w:color w:val="auto"/>
          <w:kern w:val="0"/>
          <w:szCs w:val="21"/>
          <w:highlight w:val="none"/>
        </w:rPr>
        <w:t>的情况在本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公告发布的同一媒介予以公示，公示</w:t>
      </w:r>
      <w:r>
        <w:rPr>
          <w:rFonts w:hint="eastAsia" w:ascii="宋体" w:hAnsi="宋体" w:eastAsia="宋体" w:cs="宋体"/>
          <w:color w:val="auto"/>
          <w:kern w:val="0"/>
          <w:szCs w:val="21"/>
          <w:highlight w:val="none"/>
          <w:lang w:eastAsia="zh-CN"/>
        </w:rPr>
        <w:t>期限</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lang w:eastAsia="zh-CN"/>
        </w:rPr>
        <w:t>个工作日</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公示期结束后</w:t>
      </w:r>
      <w:r>
        <w:rPr>
          <w:rFonts w:hint="eastAsia" w:ascii="宋体" w:hAnsi="宋体" w:eastAsia="宋体" w:cs="宋体"/>
          <w:color w:val="auto"/>
          <w:kern w:val="0"/>
          <w:szCs w:val="21"/>
          <w:highlight w:val="none"/>
        </w:rPr>
        <w:t>向</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发出</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w:t>
      </w:r>
    </w:p>
    <w:p w14:paraId="40C07A2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在规定的时间内不领取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的，视为中标后自动放弃中标资格；</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在有效报价中报价最低,非不可抗力放弃中标资格的。发生上述情况的承担由此引起的一切后果。</w:t>
      </w:r>
    </w:p>
    <w:p w14:paraId="5DBDF9B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对采购人和</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具有同等法律效力。</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发出后，采购人改变中标结果，或者</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放弃中标，应按相关法律、规章、规范性文件的要求承担相应的法律责任。</w:t>
      </w:r>
    </w:p>
    <w:p w14:paraId="0CDA854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bCs/>
          <w:color w:val="auto"/>
          <w:kern w:val="0"/>
          <w:szCs w:val="21"/>
          <w:highlight w:val="none"/>
        </w:rPr>
        <w:t>.4</w:t>
      </w:r>
      <w:r>
        <w:rPr>
          <w:rFonts w:hint="eastAsia" w:ascii="宋体" w:hAnsi="宋体" w:eastAsia="宋体" w:cs="宋体"/>
          <w:bCs/>
          <w:color w:val="auto"/>
          <w:kern w:val="0"/>
          <w:szCs w:val="21"/>
          <w:highlight w:val="none"/>
          <w:lang w:eastAsia="zh-CN"/>
        </w:rPr>
        <w:t>成交通知书</w:t>
      </w:r>
      <w:r>
        <w:rPr>
          <w:rFonts w:hint="eastAsia" w:ascii="宋体" w:hAnsi="宋体" w:eastAsia="宋体" w:cs="宋体"/>
          <w:bCs/>
          <w:color w:val="auto"/>
          <w:kern w:val="0"/>
          <w:szCs w:val="21"/>
          <w:highlight w:val="none"/>
        </w:rPr>
        <w:t>将作为签订合同的依据。合同签订后，</w:t>
      </w:r>
      <w:r>
        <w:rPr>
          <w:rFonts w:hint="eastAsia" w:ascii="宋体" w:hAnsi="宋体" w:eastAsia="宋体" w:cs="宋体"/>
          <w:bCs/>
          <w:color w:val="auto"/>
          <w:kern w:val="0"/>
          <w:szCs w:val="21"/>
          <w:highlight w:val="none"/>
          <w:lang w:eastAsia="zh-CN"/>
        </w:rPr>
        <w:t>成交通知书</w:t>
      </w:r>
      <w:r>
        <w:rPr>
          <w:rFonts w:hint="eastAsia" w:ascii="宋体" w:hAnsi="宋体" w:eastAsia="宋体" w:cs="宋体"/>
          <w:bCs/>
          <w:color w:val="auto"/>
          <w:kern w:val="0"/>
          <w:szCs w:val="21"/>
          <w:highlight w:val="none"/>
        </w:rPr>
        <w:t>成为合同的一部分。</w:t>
      </w:r>
    </w:p>
    <w:p w14:paraId="13955CA9">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3</w:t>
      </w:r>
      <w:r>
        <w:rPr>
          <w:rFonts w:hint="eastAsia" w:ascii="宋体" w:hAnsi="宋体" w:eastAsia="宋体" w:cs="宋体"/>
          <w:b/>
          <w:bCs/>
          <w:color w:val="auto"/>
          <w:kern w:val="0"/>
          <w:szCs w:val="21"/>
          <w:highlight w:val="none"/>
        </w:rPr>
        <w:t>. 采购人宣布废标的权利</w:t>
      </w:r>
    </w:p>
    <w:p w14:paraId="48D3DF2D">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.1出现下列情况之一时，采购人有权宣布废标，并将理由通知所有</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w:t>
      </w:r>
    </w:p>
    <w:p w14:paraId="607D00E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.1.1出现影响采购公正的违法、违规行为的。</w:t>
      </w:r>
    </w:p>
    <w:p w14:paraId="41CD420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.1.2</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的报价均超过了</w:t>
      </w:r>
      <w:r>
        <w:rPr>
          <w:rFonts w:hint="eastAsia" w:ascii="宋体" w:hAnsi="宋体" w:eastAsia="宋体" w:cs="宋体"/>
          <w:bCs/>
          <w:color w:val="auto"/>
          <w:kern w:val="0"/>
          <w:szCs w:val="21"/>
          <w:highlight w:val="none"/>
          <w:lang w:val="en-US" w:eastAsia="zh-CN"/>
        </w:rPr>
        <w:t>采购预算金额</w:t>
      </w:r>
      <w:r>
        <w:rPr>
          <w:rFonts w:hint="eastAsia" w:ascii="宋体" w:hAnsi="宋体" w:eastAsia="宋体" w:cs="宋体"/>
          <w:bCs/>
          <w:color w:val="auto"/>
          <w:kern w:val="0"/>
          <w:szCs w:val="21"/>
          <w:highlight w:val="none"/>
        </w:rPr>
        <w:t>，采购人不能支付的。</w:t>
      </w:r>
    </w:p>
    <w:p w14:paraId="505C44E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.1.3因重大变故，采购任务取消的。</w:t>
      </w:r>
    </w:p>
    <w:p w14:paraId="7BC6B729">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szCs w:val="21"/>
          <w:highlight w:val="none"/>
        </w:rPr>
        <w:t>投标截止后</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不足3家或通过资格性检查或符合性检查的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不足3家的，除采购任务取消情形外，按照以下方式处理：</w:t>
      </w:r>
    </w:p>
    <w:p w14:paraId="7E364545">
      <w:pPr>
        <w:keepNext w:val="0"/>
        <w:keepLines w:val="0"/>
        <w:pageBreakBefore w:val="0"/>
        <w:numPr>
          <w:ilvl w:val="0"/>
          <w:numId w:val="3"/>
        </w:numPr>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文件存在不合理条款或者招标程序不符合规定的，采购人正后依法重新招标；　</w:t>
      </w:r>
    </w:p>
    <w:p w14:paraId="2682B28F">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b/>
          <w:color w:val="auto"/>
          <w:kern w:val="0"/>
          <w:sz w:val="52"/>
          <w:szCs w:val="52"/>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文件没有不合理条款、招标程序符合规定，需要采用其他采购方式采购的，采购人应当依法报财政部门批准。</w:t>
      </w:r>
    </w:p>
    <w:p w14:paraId="40C8FBDC">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七</w:t>
      </w:r>
      <w:r>
        <w:rPr>
          <w:rFonts w:hint="eastAsia" w:ascii="宋体" w:hAnsi="宋体" w:eastAsia="宋体" w:cs="宋体"/>
          <w:b/>
          <w:bCs/>
          <w:color w:val="auto"/>
          <w:kern w:val="0"/>
          <w:sz w:val="28"/>
          <w:szCs w:val="28"/>
          <w:highlight w:val="none"/>
        </w:rPr>
        <w:t>、合同授予</w:t>
      </w:r>
    </w:p>
    <w:p w14:paraId="182A4EC1">
      <w:pPr>
        <w:keepNext w:val="0"/>
        <w:keepLines w:val="0"/>
        <w:pageBreakBefore w:val="0"/>
        <w:widowControl/>
        <w:kinsoku/>
        <w:wordWrap/>
        <w:overflowPunct/>
        <w:topLinePunct w:val="0"/>
        <w:bidi w:val="0"/>
        <w:snapToGrid w:val="0"/>
        <w:spacing w:line="360" w:lineRule="auto"/>
        <w:ind w:firstLine="472" w:firstLineChars="224"/>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4</w:t>
      </w:r>
      <w:r>
        <w:rPr>
          <w:rFonts w:hint="eastAsia" w:ascii="宋体" w:hAnsi="宋体" w:eastAsia="宋体" w:cs="宋体"/>
          <w:b/>
          <w:bCs/>
          <w:color w:val="auto"/>
          <w:kern w:val="0"/>
          <w:szCs w:val="21"/>
          <w:highlight w:val="none"/>
        </w:rPr>
        <w:t>.合同签订</w:t>
      </w:r>
    </w:p>
    <w:p w14:paraId="01282E1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u w:val="single"/>
        </w:rPr>
      </w:pPr>
      <w:bookmarkStart w:id="46" w:name="_Toc8594"/>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.1 采购人、</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自</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发出之日起，在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文件第三章《</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须知前附表》规定的时间内，根据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文件确定的事项和</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签订合同。双方所签订的合同不得对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文件和</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作实质性修改。</w:t>
      </w:r>
    </w:p>
    <w:p w14:paraId="58608B8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文件的修改文件、</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、补充或修改的文件及澄清或承诺文件等，均为双方签订合同的组成部分，并与合同一并作为本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文件所列采购项目的互补性法律文件，与合同具有同等法律效力。</w:t>
      </w:r>
    </w:p>
    <w:p w14:paraId="5C559A6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.3 </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放弃中标、因不可抗力不能履行合同、不按照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文件要求提交履约保证金，或者被查实存在影响中标结果的违法行为等情形，不符合中标条件的，采购人可以按照</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提出的</w:t>
      </w:r>
      <w:r>
        <w:rPr>
          <w:rFonts w:hint="eastAsia" w:ascii="宋体" w:hAnsi="宋体" w:eastAsia="宋体" w:cs="宋体"/>
          <w:color w:val="auto"/>
          <w:kern w:val="0"/>
          <w:szCs w:val="21"/>
          <w:highlight w:val="none"/>
          <w:lang w:eastAsia="zh-CN"/>
        </w:rPr>
        <w:t>成交候选供应商</w:t>
      </w:r>
      <w:r>
        <w:rPr>
          <w:rFonts w:hint="eastAsia" w:ascii="宋体" w:hAnsi="宋体" w:eastAsia="宋体" w:cs="宋体"/>
          <w:color w:val="auto"/>
          <w:kern w:val="0"/>
          <w:szCs w:val="21"/>
          <w:highlight w:val="none"/>
        </w:rPr>
        <w:t>名单排序依次确定其他</w:t>
      </w:r>
      <w:r>
        <w:rPr>
          <w:rFonts w:hint="eastAsia" w:ascii="宋体" w:hAnsi="宋体" w:eastAsia="宋体" w:cs="宋体"/>
          <w:color w:val="auto"/>
          <w:kern w:val="0"/>
          <w:szCs w:val="21"/>
          <w:highlight w:val="none"/>
          <w:lang w:eastAsia="zh-CN"/>
        </w:rPr>
        <w:t>成交候选供应商</w:t>
      </w:r>
      <w:r>
        <w:rPr>
          <w:rFonts w:hint="eastAsia" w:ascii="宋体" w:hAnsi="宋体" w:eastAsia="宋体" w:cs="宋体"/>
          <w:color w:val="auto"/>
          <w:kern w:val="0"/>
          <w:szCs w:val="21"/>
          <w:highlight w:val="none"/>
        </w:rPr>
        <w:t>为</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，也可以重新招标。</w:t>
      </w:r>
    </w:p>
    <w:bookmarkEnd w:id="46"/>
    <w:p w14:paraId="5EC13C81">
      <w:pPr>
        <w:rPr>
          <w:rFonts w:hint="eastAsia" w:ascii="宋体" w:hAnsi="宋体" w:eastAsia="宋体" w:cs="宋体"/>
          <w:color w:val="auto"/>
          <w:highlight w:val="none"/>
        </w:rPr>
      </w:pPr>
      <w:bookmarkStart w:id="47" w:name="_Toc4700"/>
      <w:bookmarkStart w:id="48" w:name="_Toc16669"/>
      <w:r>
        <w:rPr>
          <w:rFonts w:hint="eastAsia" w:ascii="宋体" w:hAnsi="宋体" w:eastAsia="宋体" w:cs="宋体"/>
          <w:color w:val="auto"/>
          <w:highlight w:val="none"/>
        </w:rPr>
        <w:br w:type="page"/>
      </w:r>
    </w:p>
    <w:p w14:paraId="305D3E70">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hint="eastAsia" w:ascii="宋体" w:hAnsi="宋体" w:eastAsia="宋体" w:cs="宋体"/>
          <w:color w:val="auto"/>
          <w:kern w:val="0"/>
          <w:sz w:val="24"/>
          <w:highlight w:val="none"/>
        </w:rPr>
      </w:pPr>
      <w:bookmarkStart w:id="49" w:name="_Toc31399"/>
      <w:r>
        <w:rPr>
          <w:rFonts w:hint="eastAsia" w:ascii="宋体" w:hAnsi="宋体" w:eastAsia="宋体" w:cs="宋体"/>
          <w:b/>
          <w:bCs/>
          <w:color w:val="auto"/>
          <w:kern w:val="0"/>
          <w:sz w:val="32"/>
          <w:szCs w:val="32"/>
          <w:highlight w:val="none"/>
        </w:rPr>
        <w:t>第四章  评标办法及评分标准</w:t>
      </w:r>
      <w:bookmarkEnd w:id="47"/>
      <w:bookmarkEnd w:id="49"/>
    </w:p>
    <w:p w14:paraId="6F4C4186">
      <w:pPr>
        <w:rPr>
          <w:rFonts w:hint="eastAsia" w:ascii="宋体" w:hAnsi="宋体" w:eastAsia="宋体" w:cs="宋体"/>
          <w:color w:val="auto"/>
          <w:highlight w:val="none"/>
        </w:rPr>
      </w:pPr>
    </w:p>
    <w:p w14:paraId="5FA8D29B">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5A6B0AB5">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2CA30BDB">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5807D4BC">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3CDF010F">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b w:val="0"/>
          <w:bCs w:val="0"/>
          <w:color w:val="auto"/>
          <w:sz w:val="21"/>
          <w:szCs w:val="21"/>
          <w:highlight w:val="none"/>
        </w:rPr>
        <w:t>文件进行综合比较与评价。</w:t>
      </w:r>
    </w:p>
    <w:p w14:paraId="4CECA875">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14:paraId="1E8C2FFB">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b w:val="0"/>
          <w:bCs w:val="0"/>
          <w:color w:val="auto"/>
          <w:sz w:val="21"/>
          <w:szCs w:val="21"/>
          <w:highlight w:val="none"/>
        </w:rPr>
        <w:t>文件满足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w:t>
      </w:r>
      <w:r>
        <w:rPr>
          <w:rFonts w:hint="eastAsia" w:ascii="宋体" w:hAnsi="宋体" w:eastAsia="宋体" w:cs="宋体"/>
          <w:b w:val="0"/>
          <w:bCs w:val="0"/>
          <w:color w:val="auto"/>
          <w:sz w:val="21"/>
          <w:szCs w:val="21"/>
          <w:highlight w:val="none"/>
          <w:lang w:eastAsia="zh-CN"/>
        </w:rPr>
        <w:t>成交供应商</w:t>
      </w:r>
      <w:r>
        <w:rPr>
          <w:rFonts w:hint="eastAsia" w:ascii="宋体" w:hAnsi="宋体" w:eastAsia="宋体" w:cs="宋体"/>
          <w:b w:val="0"/>
          <w:bCs w:val="0"/>
          <w:color w:val="auto"/>
          <w:sz w:val="21"/>
          <w:szCs w:val="21"/>
          <w:highlight w:val="none"/>
        </w:rPr>
        <w:t>。</w:t>
      </w:r>
    </w:p>
    <w:p w14:paraId="328CEB9D">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7CCCB1DD">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1D5C7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9482" w:type="dxa"/>
            <w:gridSpan w:val="3"/>
            <w:noWrap w:val="0"/>
            <w:vAlign w:val="center"/>
          </w:tcPr>
          <w:p w14:paraId="469082FD">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69498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jc w:val="center"/>
        </w:trPr>
        <w:tc>
          <w:tcPr>
            <w:tcW w:w="1239" w:type="dxa"/>
            <w:vMerge w:val="restart"/>
            <w:noWrap w:val="0"/>
            <w:vAlign w:val="center"/>
          </w:tcPr>
          <w:p w14:paraId="7DDCBB3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40</w:t>
            </w:r>
            <w:r>
              <w:rPr>
                <w:rFonts w:hint="eastAsia" w:ascii="宋体" w:hAnsi="宋体" w:eastAsia="宋体" w:cs="宋体"/>
                <w:b w:val="0"/>
                <w:bCs w:val="0"/>
                <w:color w:val="auto"/>
                <w:sz w:val="21"/>
                <w:szCs w:val="21"/>
                <w:highlight w:val="none"/>
              </w:rPr>
              <w:t>分)</w:t>
            </w:r>
          </w:p>
        </w:tc>
        <w:tc>
          <w:tcPr>
            <w:tcW w:w="1473" w:type="dxa"/>
            <w:noWrap w:val="0"/>
            <w:vAlign w:val="center"/>
          </w:tcPr>
          <w:p w14:paraId="1055ACFE">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监护除颤类配件</w:t>
            </w:r>
            <w:r>
              <w:rPr>
                <w:rFonts w:hint="eastAsia" w:ascii="宋体" w:hAnsi="宋体" w:eastAsia="宋体" w:cs="宋体"/>
                <w:b w:val="0"/>
                <w:bCs w:val="0"/>
                <w:color w:val="auto"/>
                <w:sz w:val="21"/>
                <w:szCs w:val="21"/>
                <w:highlight w:val="none"/>
                <w:lang w:eastAsia="zh-CN"/>
              </w:rPr>
              <w:t>磋商</w:t>
            </w:r>
            <w:r>
              <w:rPr>
                <w:rFonts w:hint="eastAsia" w:ascii="宋体" w:hAnsi="宋体" w:cs="宋体"/>
                <w:b w:val="0"/>
                <w:bCs w:val="0"/>
                <w:color w:val="auto"/>
                <w:sz w:val="21"/>
                <w:szCs w:val="21"/>
                <w:highlight w:val="none"/>
                <w:lang w:val="en-US" w:eastAsia="zh-CN"/>
              </w:rPr>
              <w:t>报价（25分）</w:t>
            </w:r>
          </w:p>
        </w:tc>
        <w:tc>
          <w:tcPr>
            <w:tcW w:w="6770" w:type="dxa"/>
            <w:noWrap w:val="0"/>
            <w:vAlign w:val="center"/>
          </w:tcPr>
          <w:p w14:paraId="73BB81A2">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报价明显低于其他</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报价，使其</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报价可能低于其个别成本的，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处理。</w:t>
            </w:r>
          </w:p>
          <w:p w14:paraId="5CF29D5E">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p>
          <w:p w14:paraId="50E4524E">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价格最低的有效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报价为评标基准价。</w:t>
            </w:r>
          </w:p>
          <w:p w14:paraId="07D0F823">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报价得分=（评标基准价/有效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rPr>
              <w:t>分</w:t>
            </w:r>
          </w:p>
        </w:tc>
      </w:tr>
      <w:tr w14:paraId="2DD42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jc w:val="center"/>
        </w:trPr>
        <w:tc>
          <w:tcPr>
            <w:tcW w:w="1239" w:type="dxa"/>
            <w:vMerge w:val="continue"/>
            <w:noWrap w:val="0"/>
            <w:vAlign w:val="center"/>
          </w:tcPr>
          <w:p w14:paraId="1161BE9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p>
        </w:tc>
        <w:tc>
          <w:tcPr>
            <w:tcW w:w="1473" w:type="dxa"/>
            <w:noWrap w:val="0"/>
            <w:vAlign w:val="center"/>
          </w:tcPr>
          <w:p w14:paraId="68124A27">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血压计类</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理疗类</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医用灯泡类配件</w:t>
            </w:r>
            <w:r>
              <w:rPr>
                <w:rFonts w:hint="eastAsia" w:ascii="宋体" w:hAnsi="宋体" w:eastAsia="宋体" w:cs="宋体"/>
                <w:b w:val="0"/>
                <w:bCs w:val="0"/>
                <w:color w:val="auto"/>
                <w:sz w:val="21"/>
                <w:szCs w:val="21"/>
                <w:highlight w:val="none"/>
                <w:lang w:eastAsia="zh-CN"/>
              </w:rPr>
              <w:t>磋商</w:t>
            </w:r>
            <w:r>
              <w:rPr>
                <w:rFonts w:hint="eastAsia" w:ascii="宋体" w:hAnsi="宋体" w:cs="宋体"/>
                <w:b w:val="0"/>
                <w:bCs w:val="0"/>
                <w:color w:val="auto"/>
                <w:sz w:val="21"/>
                <w:szCs w:val="21"/>
                <w:highlight w:val="none"/>
                <w:lang w:val="en-US" w:eastAsia="zh-CN"/>
              </w:rPr>
              <w:t>报价（15分）</w:t>
            </w:r>
          </w:p>
        </w:tc>
        <w:tc>
          <w:tcPr>
            <w:tcW w:w="6770" w:type="dxa"/>
            <w:noWrap w:val="0"/>
            <w:vAlign w:val="center"/>
          </w:tcPr>
          <w:p w14:paraId="12567B3A">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报价明显低于其他</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报价，使其</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报价可能低于其个别成本的，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处理。</w:t>
            </w:r>
          </w:p>
          <w:p w14:paraId="7D02508A">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p>
          <w:p w14:paraId="4C8FA802">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价格最低的有效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报价为评标基准价。</w:t>
            </w:r>
          </w:p>
          <w:p w14:paraId="5C53B9B0">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报价得分=（评标基准价/有效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r>
      <w:tr w14:paraId="2636C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jc w:val="center"/>
        </w:trPr>
        <w:tc>
          <w:tcPr>
            <w:tcW w:w="1239" w:type="dxa"/>
            <w:vMerge w:val="restart"/>
            <w:noWrap w:val="0"/>
            <w:vAlign w:val="center"/>
          </w:tcPr>
          <w:p w14:paraId="7D578B0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技术部分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14:paraId="4D145501">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1.产品技术参数（3</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14:paraId="35C5E37A">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供应商对“第二章 采购需求 三、技术要求”的响应，所投</w:t>
            </w:r>
            <w:r>
              <w:rPr>
                <w:rFonts w:hint="eastAsia" w:ascii="宋体" w:hAnsi="宋体" w:eastAsia="宋体" w:cs="宋体"/>
                <w:b w:val="0"/>
                <w:bCs w:val="0"/>
                <w:color w:val="auto"/>
                <w:sz w:val="21"/>
                <w:szCs w:val="21"/>
                <w:highlight w:val="none"/>
                <w:lang w:val="en-US" w:eastAsia="zh-CN"/>
              </w:rPr>
              <w:t>产品规格型号</w:t>
            </w:r>
            <w:r>
              <w:rPr>
                <w:rFonts w:hint="eastAsia" w:ascii="宋体" w:hAnsi="宋体" w:eastAsia="宋体" w:cs="宋体"/>
                <w:b w:val="0"/>
                <w:bCs w:val="0"/>
                <w:color w:val="auto"/>
                <w:sz w:val="21"/>
                <w:szCs w:val="21"/>
                <w:highlight w:val="none"/>
                <w:lang w:eastAsia="zh-CN"/>
              </w:rPr>
              <w:t>全部满足磋商文件要求得，</w:t>
            </w:r>
            <w:r>
              <w:rPr>
                <w:rFonts w:hint="eastAsia" w:ascii="宋体" w:hAnsi="宋体" w:eastAsia="宋体" w:cs="宋体"/>
                <w:b w:val="0"/>
                <w:bCs w:val="0"/>
                <w:color w:val="auto"/>
                <w:sz w:val="21"/>
                <w:szCs w:val="21"/>
                <w:highlight w:val="none"/>
                <w:lang w:val="en-US" w:eastAsia="zh-CN"/>
              </w:rPr>
              <w:t>有</w:t>
            </w:r>
            <w:r>
              <w:rPr>
                <w:rFonts w:hint="eastAsia" w:ascii="宋体" w:hAnsi="宋体" w:eastAsia="宋体" w:cs="宋体"/>
                <w:b w:val="0"/>
                <w:bCs w:val="0"/>
                <w:color w:val="auto"/>
                <w:sz w:val="21"/>
                <w:szCs w:val="21"/>
                <w:highlight w:val="none"/>
                <w:lang w:eastAsia="zh-CN"/>
              </w:rPr>
              <w:t>一项</w:t>
            </w:r>
            <w:r>
              <w:rPr>
                <w:rFonts w:hint="eastAsia" w:ascii="宋体" w:hAnsi="宋体" w:eastAsia="宋体" w:cs="宋体"/>
                <w:b w:val="0"/>
                <w:bCs w:val="0"/>
                <w:color w:val="auto"/>
                <w:sz w:val="21"/>
                <w:szCs w:val="21"/>
                <w:highlight w:val="none"/>
                <w:lang w:val="en-US" w:eastAsia="zh-CN"/>
              </w:rPr>
              <w:t>技术参数</w:t>
            </w:r>
            <w:r>
              <w:rPr>
                <w:rFonts w:hint="eastAsia" w:ascii="宋体" w:hAnsi="宋体" w:eastAsia="宋体" w:cs="宋体"/>
                <w:b w:val="0"/>
                <w:bCs w:val="0"/>
                <w:color w:val="auto"/>
                <w:sz w:val="21"/>
                <w:szCs w:val="21"/>
                <w:highlight w:val="none"/>
                <w:lang w:eastAsia="zh-CN"/>
              </w:rPr>
              <w:t>不满足扣</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eastAsia="zh-CN"/>
              </w:rPr>
              <w:t>分；如得分为0，则</w:t>
            </w:r>
            <w:r>
              <w:rPr>
                <w:rFonts w:hint="eastAsia" w:ascii="宋体" w:hAnsi="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lang w:eastAsia="zh-CN"/>
              </w:rPr>
              <w:t xml:space="preserve">无效。 </w:t>
            </w:r>
          </w:p>
          <w:p w14:paraId="321D9D79">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1）供应商需</w:t>
            </w:r>
            <w:r>
              <w:rPr>
                <w:rFonts w:hint="eastAsia" w:ascii="宋体" w:hAnsi="宋体" w:eastAsia="宋体" w:cs="宋体"/>
                <w:b w:val="0"/>
                <w:bCs w:val="0"/>
                <w:color w:val="auto"/>
                <w:sz w:val="21"/>
                <w:szCs w:val="21"/>
                <w:highlight w:val="none"/>
                <w:lang w:val="en-US" w:eastAsia="zh-CN"/>
              </w:rPr>
              <w:t>如实填写技术</w:t>
            </w:r>
            <w:r>
              <w:rPr>
                <w:rFonts w:hint="eastAsia" w:ascii="宋体" w:hAnsi="宋体" w:eastAsia="宋体" w:cs="宋体"/>
                <w:b w:val="0"/>
                <w:bCs w:val="0"/>
                <w:color w:val="auto"/>
                <w:sz w:val="21"/>
                <w:szCs w:val="21"/>
                <w:highlight w:val="none"/>
                <w:lang w:eastAsia="zh-CN"/>
              </w:rPr>
              <w:t>偏离表，并标注偏离情况。</w:t>
            </w:r>
          </w:p>
          <w:p w14:paraId="376167CF">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2）提供相关证明文件，并对响应技术参数部分做出明显标注。</w:t>
            </w:r>
          </w:p>
        </w:tc>
      </w:tr>
      <w:tr w14:paraId="04783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03BE1C6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6547966A">
            <w:pPr>
              <w:keepNext w:val="0"/>
              <w:keepLines w:val="0"/>
              <w:pageBreakBefore w:val="0"/>
              <w:widowControl/>
              <w:kinsoku/>
              <w:wordWrap/>
              <w:overflowPunct/>
              <w:topLinePunct w:val="0"/>
              <w:autoSpaceDE/>
              <w:autoSpaceDN/>
              <w:bidi w:val="0"/>
              <w:adjustRightInd/>
              <w:snapToGrid w:val="0"/>
              <w:spacing w:line="360" w:lineRule="exac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2.产品综合评议</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p>
        </w:tc>
        <w:tc>
          <w:tcPr>
            <w:tcW w:w="6770" w:type="dxa"/>
            <w:noWrap w:val="0"/>
            <w:vAlign w:val="center"/>
          </w:tcPr>
          <w:p w14:paraId="62F7E326">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根据响应产品的制造工艺、稳定性、产品操作性、性能及技术先进性等进行打分。</w:t>
            </w:r>
          </w:p>
          <w:p w14:paraId="2972CC49">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响应产品制造工艺、稳定性好、操作性强、技术先进的得5分；响应产品制造工艺、稳定性较好、操作性较强、技术较先进的得3分；响应产品制造工艺、稳定性一般、操作性一般、技术较保守的得1分。</w:t>
            </w:r>
          </w:p>
        </w:tc>
      </w:tr>
      <w:tr w14:paraId="6A64F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239" w:type="dxa"/>
            <w:vMerge w:val="continue"/>
            <w:noWrap w:val="0"/>
            <w:vAlign w:val="center"/>
          </w:tcPr>
          <w:p w14:paraId="138C84C0">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restart"/>
            <w:noWrap w:val="0"/>
            <w:vAlign w:val="center"/>
          </w:tcPr>
          <w:p w14:paraId="37A15399">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eastAsia" w:ascii="宋体" w:hAnsi="宋体" w:eastAsia="宋体" w:cs="宋体"/>
                <w:b w:val="0"/>
                <w:bCs w:val="0"/>
                <w:color w:val="auto"/>
                <w:sz w:val="21"/>
                <w:szCs w:val="21"/>
                <w:highlight w:val="yellow"/>
                <w:lang w:val="en-US" w:eastAsia="zh-CN"/>
              </w:rPr>
            </w:pPr>
            <w:r>
              <w:rPr>
                <w:rFonts w:hint="eastAsia" w:ascii="宋体" w:hAnsi="宋体" w:eastAsia="宋体" w:cs="宋体"/>
                <w:b w:val="0"/>
                <w:bCs w:val="0"/>
                <w:color w:val="auto"/>
                <w:kern w:val="0"/>
                <w:sz w:val="21"/>
                <w:szCs w:val="21"/>
                <w:highlight w:val="none"/>
                <w:lang w:val="en-US" w:eastAsia="zh-CN"/>
              </w:rPr>
              <w:t>3.实施方案（9分）</w:t>
            </w:r>
          </w:p>
        </w:tc>
        <w:tc>
          <w:tcPr>
            <w:tcW w:w="6770" w:type="dxa"/>
            <w:noWrap w:val="0"/>
            <w:vAlign w:val="center"/>
          </w:tcPr>
          <w:p w14:paraId="3E802553">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磋商小组根据</w:t>
            </w:r>
            <w:r>
              <w:rPr>
                <w:rFonts w:hint="eastAsia" w:ascii="宋体" w:hAnsi="宋体" w:eastAsia="宋体" w:cs="宋体"/>
                <w:b w:val="0"/>
                <w:bCs w:val="0"/>
                <w:color w:val="auto"/>
                <w:sz w:val="21"/>
                <w:szCs w:val="21"/>
                <w:highlight w:val="none"/>
              </w:rPr>
              <w:t>供应商</w:t>
            </w:r>
            <w:r>
              <w:rPr>
                <w:rFonts w:hint="eastAsia" w:ascii="宋体" w:hAnsi="宋体" w:eastAsia="宋体" w:cs="宋体"/>
                <w:b w:val="0"/>
                <w:bCs w:val="0"/>
                <w:color w:val="auto"/>
                <w:kern w:val="2"/>
                <w:sz w:val="21"/>
                <w:szCs w:val="21"/>
                <w:highlight w:val="none"/>
                <w:lang w:val="en-US" w:eastAsia="zh-CN"/>
              </w:rPr>
              <w:t>提供的</w:t>
            </w:r>
            <w:r>
              <w:rPr>
                <w:rFonts w:hint="eastAsia" w:ascii="宋体" w:hAnsi="宋体" w:eastAsia="宋体" w:cs="宋体"/>
                <w:b w:val="0"/>
                <w:bCs w:val="0"/>
                <w:color w:val="auto"/>
                <w:sz w:val="21"/>
                <w:szCs w:val="21"/>
                <w:highlight w:val="none"/>
                <w:lang w:eastAsia="zh-CN"/>
              </w:rPr>
              <w:t>供货</w:t>
            </w:r>
            <w:r>
              <w:rPr>
                <w:rFonts w:hint="eastAsia" w:ascii="宋体" w:hAnsi="宋体" w:eastAsia="宋体" w:cs="宋体"/>
                <w:b w:val="0"/>
                <w:bCs w:val="0"/>
                <w:color w:val="auto"/>
                <w:sz w:val="21"/>
                <w:szCs w:val="21"/>
                <w:highlight w:val="none"/>
              </w:rPr>
              <w:t>方案，包括供货、安装调试的方案（前期工作、人员及工具配备、时间安排）及培训方案</w:t>
            </w:r>
            <w:r>
              <w:rPr>
                <w:rFonts w:hint="eastAsia" w:ascii="宋体" w:hAnsi="宋体" w:eastAsia="宋体" w:cs="宋体"/>
                <w:b w:val="0"/>
                <w:bCs w:val="0"/>
                <w:color w:val="auto"/>
                <w:sz w:val="21"/>
                <w:szCs w:val="21"/>
                <w:highlight w:val="none"/>
                <w:lang w:eastAsia="zh-CN"/>
              </w:rPr>
              <w:t>、验收</w:t>
            </w: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val="en-US" w:eastAsia="zh-CN"/>
              </w:rPr>
              <w:t>等进行打分。</w:t>
            </w:r>
          </w:p>
          <w:p w14:paraId="5C33A345">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sz w:val="21"/>
                <w:szCs w:val="21"/>
                <w:highlight w:val="yellow"/>
                <w:lang w:val="en-US" w:eastAsia="zh-CN"/>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的得1分，</w:t>
            </w:r>
            <w:r>
              <w:rPr>
                <w:rFonts w:hint="eastAsia" w:ascii="宋体" w:hAnsi="宋体" w:eastAsia="宋体" w:cs="宋体"/>
                <w:b w:val="0"/>
                <w:bCs w:val="0"/>
                <w:color w:val="auto"/>
                <w:sz w:val="21"/>
                <w:szCs w:val="21"/>
                <w:highlight w:val="none"/>
              </w:rPr>
              <w:t>缺项得0分。</w:t>
            </w:r>
          </w:p>
        </w:tc>
      </w:tr>
      <w:tr w14:paraId="6686A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239" w:type="dxa"/>
            <w:vMerge w:val="continue"/>
            <w:noWrap w:val="0"/>
            <w:vAlign w:val="center"/>
          </w:tcPr>
          <w:p w14:paraId="0F5535FC">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445A9177">
            <w:pPr>
              <w:keepNext w:val="0"/>
              <w:keepLines w:val="0"/>
              <w:pageBreakBefore w:val="0"/>
              <w:widowControl/>
              <w:kinsoku/>
              <w:wordWrap/>
              <w:overflowPunct/>
              <w:topLinePunct w:val="0"/>
              <w:autoSpaceDE/>
              <w:autoSpaceDN/>
              <w:bidi w:val="0"/>
              <w:adjustRightInd/>
              <w:snapToGrid w:val="0"/>
              <w:spacing w:line="360" w:lineRule="exact"/>
              <w:textAlignment w:val="auto"/>
              <w:rPr>
                <w:rFonts w:hint="eastAsia" w:ascii="宋体" w:hAnsi="宋体" w:eastAsia="宋体" w:cs="宋体"/>
                <w:b w:val="0"/>
                <w:bCs w:val="0"/>
                <w:color w:val="auto"/>
                <w:kern w:val="0"/>
                <w:sz w:val="21"/>
                <w:szCs w:val="21"/>
                <w:highlight w:val="none"/>
                <w:lang w:val="en-US" w:eastAsia="zh-CN"/>
              </w:rPr>
            </w:pPr>
          </w:p>
        </w:tc>
        <w:tc>
          <w:tcPr>
            <w:tcW w:w="6770" w:type="dxa"/>
            <w:noWrap w:val="0"/>
            <w:vAlign w:val="center"/>
          </w:tcPr>
          <w:p w14:paraId="1DBDC8C7">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磋商小组根据</w:t>
            </w:r>
            <w:r>
              <w:rPr>
                <w:rFonts w:hint="eastAsia" w:ascii="宋体" w:hAnsi="宋体" w:eastAsia="宋体" w:cs="宋体"/>
                <w:b w:val="0"/>
                <w:bCs w:val="0"/>
                <w:color w:val="auto"/>
                <w:sz w:val="21"/>
                <w:szCs w:val="21"/>
                <w:highlight w:val="none"/>
              </w:rPr>
              <w:t>供应商</w:t>
            </w:r>
            <w:r>
              <w:rPr>
                <w:rFonts w:hint="eastAsia" w:ascii="宋体" w:hAnsi="宋体" w:eastAsia="宋体" w:cs="宋体"/>
                <w:b w:val="0"/>
                <w:bCs w:val="0"/>
                <w:color w:val="auto"/>
                <w:kern w:val="2"/>
                <w:sz w:val="21"/>
                <w:szCs w:val="21"/>
                <w:highlight w:val="none"/>
                <w:lang w:val="en-US" w:eastAsia="zh-CN"/>
              </w:rPr>
              <w:t>提供的供货保障措施</w:t>
            </w:r>
            <w:r>
              <w:rPr>
                <w:rFonts w:hint="eastAsia" w:ascii="宋体" w:hAnsi="宋体" w:eastAsia="宋体" w:cs="宋体"/>
                <w:b w:val="0"/>
                <w:bCs w:val="0"/>
                <w:color w:val="auto"/>
                <w:sz w:val="21"/>
                <w:szCs w:val="21"/>
                <w:highlight w:val="none"/>
              </w:rPr>
              <w:t>，包括</w:t>
            </w:r>
            <w:r>
              <w:rPr>
                <w:rFonts w:hint="eastAsia" w:ascii="宋体" w:hAnsi="宋体" w:eastAsia="宋体" w:cs="宋体"/>
                <w:b w:val="0"/>
                <w:bCs w:val="0"/>
                <w:color w:val="auto"/>
                <w:sz w:val="21"/>
                <w:szCs w:val="21"/>
                <w:highlight w:val="none"/>
                <w:lang w:eastAsia="zh-CN"/>
              </w:rPr>
              <w:t>货源保障措施、</w:t>
            </w:r>
            <w:r>
              <w:rPr>
                <w:rFonts w:hint="eastAsia" w:ascii="宋体" w:hAnsi="宋体" w:eastAsia="宋体" w:cs="宋体"/>
                <w:b w:val="0"/>
                <w:bCs w:val="0"/>
                <w:color w:val="auto"/>
                <w:sz w:val="21"/>
                <w:szCs w:val="21"/>
                <w:highlight w:val="none"/>
                <w:lang w:val="en-US" w:eastAsia="zh-CN"/>
              </w:rPr>
              <w:t>供货期限</w:t>
            </w:r>
            <w:r>
              <w:rPr>
                <w:rFonts w:hint="eastAsia" w:ascii="宋体" w:hAnsi="宋体" w:eastAsia="宋体" w:cs="宋体"/>
                <w:b w:val="0"/>
                <w:bCs w:val="0"/>
                <w:color w:val="auto"/>
                <w:sz w:val="21"/>
                <w:szCs w:val="21"/>
                <w:highlight w:val="none"/>
              </w:rPr>
              <w:t>保证措施</w:t>
            </w:r>
            <w:r>
              <w:rPr>
                <w:rFonts w:hint="eastAsia" w:ascii="宋体" w:hAnsi="宋体" w:eastAsia="宋体" w:cs="宋体"/>
                <w:b w:val="0"/>
                <w:bCs w:val="0"/>
                <w:color w:val="auto"/>
                <w:sz w:val="21"/>
                <w:szCs w:val="21"/>
                <w:highlight w:val="none"/>
                <w:lang w:val="en-US" w:eastAsia="zh-CN"/>
              </w:rPr>
              <w:t>等进行打分。</w:t>
            </w:r>
          </w:p>
          <w:p w14:paraId="765F838B">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的得1分</w:t>
            </w:r>
            <w:r>
              <w:rPr>
                <w:rFonts w:hint="eastAsia" w:ascii="宋体" w:hAnsi="宋体" w:eastAsia="宋体" w:cs="宋体"/>
                <w:b w:val="0"/>
                <w:bCs w:val="0"/>
                <w:color w:val="auto"/>
                <w:sz w:val="21"/>
                <w:szCs w:val="21"/>
                <w:highlight w:val="none"/>
              </w:rPr>
              <w:t>；缺项得0分。</w:t>
            </w:r>
          </w:p>
        </w:tc>
      </w:tr>
      <w:tr w14:paraId="36E8E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119C775C">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3EF8C0E6">
            <w:pPr>
              <w:keepNext w:val="0"/>
              <w:keepLines w:val="0"/>
              <w:pageBreakBefore w:val="0"/>
              <w:widowControl/>
              <w:kinsoku/>
              <w:wordWrap/>
              <w:overflowPunct/>
              <w:topLinePunct w:val="0"/>
              <w:autoSpaceDE/>
              <w:autoSpaceDN/>
              <w:bidi w:val="0"/>
              <w:adjustRightInd/>
              <w:snapToGrid w:val="0"/>
              <w:spacing w:line="360" w:lineRule="exact"/>
              <w:textAlignment w:val="auto"/>
              <w:rPr>
                <w:rFonts w:hint="eastAsia" w:ascii="宋体" w:hAnsi="宋体" w:eastAsia="宋体" w:cs="宋体"/>
                <w:b w:val="0"/>
                <w:bCs w:val="0"/>
                <w:color w:val="auto"/>
                <w:kern w:val="0"/>
                <w:sz w:val="21"/>
                <w:szCs w:val="21"/>
                <w:highlight w:val="none"/>
                <w:lang w:val="en-US" w:eastAsia="zh-CN"/>
              </w:rPr>
            </w:pPr>
          </w:p>
        </w:tc>
        <w:tc>
          <w:tcPr>
            <w:tcW w:w="6770" w:type="dxa"/>
            <w:noWrap w:val="0"/>
            <w:vAlign w:val="center"/>
          </w:tcPr>
          <w:p w14:paraId="099A2A01">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根据供应商针对突发情况提供应急服务方案及保障措施进行打分，包含（但不限于）以下内容：应急响应流程及响应时间、应急保障措施（人员配备、备品备件等）。</w:t>
            </w:r>
          </w:p>
          <w:p w14:paraId="7D40FC99">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的得1分</w:t>
            </w:r>
            <w:r>
              <w:rPr>
                <w:rFonts w:hint="eastAsia" w:ascii="宋体" w:hAnsi="宋体" w:eastAsia="宋体" w:cs="宋体"/>
                <w:b w:val="0"/>
                <w:bCs w:val="0"/>
                <w:color w:val="auto"/>
                <w:sz w:val="21"/>
                <w:szCs w:val="21"/>
                <w:highlight w:val="none"/>
              </w:rPr>
              <w:t>；缺项得0分。</w:t>
            </w:r>
          </w:p>
        </w:tc>
      </w:tr>
      <w:tr w14:paraId="2535F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39" w:type="dxa"/>
            <w:vMerge w:val="restart"/>
            <w:noWrap w:val="0"/>
            <w:vAlign w:val="center"/>
          </w:tcPr>
          <w:p w14:paraId="6CD3009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78A2E46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16</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14:paraId="092FFE88">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1、质保期</w:t>
            </w:r>
          </w:p>
          <w:p w14:paraId="076DD506">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（4分）</w:t>
            </w:r>
          </w:p>
        </w:tc>
        <w:tc>
          <w:tcPr>
            <w:tcW w:w="6770" w:type="dxa"/>
            <w:noWrap w:val="0"/>
            <w:vAlign w:val="top"/>
          </w:tcPr>
          <w:p w14:paraId="430101BC">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质保期在满足采购文件的基础上，每增加半年加</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分,最多加4分（出具相关服务承诺书）。</w:t>
            </w:r>
          </w:p>
        </w:tc>
      </w:tr>
      <w:tr w14:paraId="7119C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1799DEF9">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0955ABB1">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2.类似业绩（4分）</w:t>
            </w:r>
          </w:p>
        </w:tc>
        <w:tc>
          <w:tcPr>
            <w:tcW w:w="6770" w:type="dxa"/>
            <w:noWrap w:val="0"/>
            <w:vAlign w:val="center"/>
          </w:tcPr>
          <w:p w14:paraId="274336C8">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自202</w:t>
            </w:r>
            <w:r>
              <w:rPr>
                <w:rFonts w:hint="eastAsia" w:ascii="宋体" w:hAnsi="宋体" w:cs="宋体"/>
                <w:b w:val="0"/>
                <w:bCs w:val="0"/>
                <w:color w:val="auto"/>
                <w:kern w:val="0"/>
                <w:sz w:val="21"/>
                <w:szCs w:val="21"/>
                <w:highlight w:val="none"/>
                <w:lang w:val="en-US" w:eastAsia="zh-CN"/>
              </w:rPr>
              <w:t>2</w:t>
            </w:r>
            <w:r>
              <w:rPr>
                <w:rFonts w:hint="eastAsia" w:ascii="宋体" w:hAnsi="宋体" w:eastAsia="宋体" w:cs="宋体"/>
                <w:b w:val="0"/>
                <w:bCs w:val="0"/>
                <w:color w:val="auto"/>
                <w:kern w:val="0"/>
                <w:sz w:val="21"/>
                <w:szCs w:val="21"/>
                <w:highlight w:val="none"/>
                <w:lang w:val="en-US" w:eastAsia="zh-CN"/>
              </w:rPr>
              <w:t>年</w:t>
            </w:r>
            <w:r>
              <w:rPr>
                <w:rFonts w:hint="eastAsia" w:ascii="宋体" w:hAnsi="宋体" w:cs="宋体"/>
                <w:b w:val="0"/>
                <w:bCs w:val="0"/>
                <w:color w:val="auto"/>
                <w:kern w:val="0"/>
                <w:sz w:val="21"/>
                <w:szCs w:val="21"/>
                <w:highlight w:val="none"/>
                <w:lang w:val="en-US" w:eastAsia="zh-CN"/>
              </w:rPr>
              <w:t>0</w:t>
            </w:r>
            <w:r>
              <w:rPr>
                <w:rFonts w:hint="eastAsia" w:ascii="宋体" w:hAnsi="宋体" w:eastAsia="宋体" w:cs="宋体"/>
                <w:b w:val="0"/>
                <w:bCs w:val="0"/>
                <w:color w:val="auto"/>
                <w:kern w:val="0"/>
                <w:sz w:val="21"/>
                <w:szCs w:val="21"/>
                <w:highlight w:val="none"/>
                <w:lang w:val="en-US" w:eastAsia="zh-CN"/>
              </w:rPr>
              <w:t>1月</w:t>
            </w:r>
            <w:r>
              <w:rPr>
                <w:rFonts w:hint="eastAsia" w:ascii="宋体" w:hAnsi="宋体" w:cs="宋体"/>
                <w:b w:val="0"/>
                <w:bCs w:val="0"/>
                <w:color w:val="auto"/>
                <w:kern w:val="0"/>
                <w:sz w:val="21"/>
                <w:szCs w:val="21"/>
                <w:highlight w:val="none"/>
                <w:lang w:val="en-US" w:eastAsia="zh-CN"/>
              </w:rPr>
              <w:t>0</w:t>
            </w:r>
            <w:r>
              <w:rPr>
                <w:rFonts w:hint="eastAsia" w:ascii="宋体" w:hAnsi="宋体" w:eastAsia="宋体" w:cs="宋体"/>
                <w:b w:val="0"/>
                <w:bCs w:val="0"/>
                <w:color w:val="auto"/>
                <w:kern w:val="0"/>
                <w:sz w:val="21"/>
                <w:szCs w:val="21"/>
                <w:highlight w:val="none"/>
                <w:lang w:val="en-US" w:eastAsia="zh-CN"/>
              </w:rPr>
              <w:t>1日以来具有的类似项目(以合同文件为准），每提供一份得2分，最多得4分。</w:t>
            </w:r>
          </w:p>
        </w:tc>
      </w:tr>
      <w:tr w14:paraId="5F293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4EC0596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restart"/>
            <w:noWrap w:val="0"/>
            <w:vAlign w:val="center"/>
          </w:tcPr>
          <w:p w14:paraId="68067DC2">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3.售后服务（8分）</w:t>
            </w:r>
          </w:p>
        </w:tc>
        <w:tc>
          <w:tcPr>
            <w:tcW w:w="6770" w:type="dxa"/>
            <w:noWrap w:val="0"/>
            <w:vAlign w:val="center"/>
          </w:tcPr>
          <w:p w14:paraId="099EB183">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磋商小组根据</w:t>
            </w:r>
            <w:r>
              <w:rPr>
                <w:rFonts w:hint="eastAsia" w:ascii="宋体" w:hAnsi="宋体" w:eastAsia="宋体" w:cs="宋体"/>
                <w:b w:val="0"/>
                <w:bCs w:val="0"/>
                <w:color w:val="auto"/>
                <w:kern w:val="2"/>
                <w:sz w:val="21"/>
                <w:szCs w:val="21"/>
                <w:highlight w:val="none"/>
                <w:lang w:val="en-US" w:eastAsia="zh-CN"/>
              </w:rPr>
              <w:t>供应商提供的售后服务体系，包括售后响应流程、问题反馈、时效、服务方式、服务地点等</w:t>
            </w:r>
            <w:r>
              <w:rPr>
                <w:rFonts w:hint="eastAsia" w:ascii="宋体" w:hAnsi="宋体" w:eastAsia="宋体" w:cs="宋体"/>
                <w:b w:val="0"/>
                <w:bCs w:val="0"/>
                <w:color w:val="auto"/>
                <w:sz w:val="21"/>
                <w:szCs w:val="21"/>
                <w:highlight w:val="none"/>
                <w:lang w:val="en-US" w:eastAsia="zh-CN"/>
              </w:rPr>
              <w:t>进行打分。</w:t>
            </w:r>
          </w:p>
          <w:p w14:paraId="7C694A37">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sz w:val="21"/>
                <w:szCs w:val="21"/>
              </w:rPr>
            </w:pP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的得4分；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4F58B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5DBF0B9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continue"/>
            <w:noWrap w:val="0"/>
            <w:vAlign w:val="center"/>
          </w:tcPr>
          <w:p w14:paraId="1C41E720">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kern w:val="2"/>
                <w:sz w:val="21"/>
                <w:szCs w:val="21"/>
                <w:highlight w:val="none"/>
                <w:lang w:val="en-US" w:eastAsia="zh-CN"/>
              </w:rPr>
            </w:pPr>
          </w:p>
        </w:tc>
        <w:tc>
          <w:tcPr>
            <w:tcW w:w="6770" w:type="dxa"/>
            <w:noWrap w:val="0"/>
            <w:vAlign w:val="center"/>
          </w:tcPr>
          <w:p w14:paraId="52F4D294">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磋商小组根据</w:t>
            </w:r>
            <w:r>
              <w:rPr>
                <w:rFonts w:hint="eastAsia" w:ascii="宋体" w:hAnsi="宋体" w:eastAsia="宋体" w:cs="宋体"/>
                <w:b w:val="0"/>
                <w:bCs w:val="0"/>
                <w:color w:val="auto"/>
                <w:kern w:val="2"/>
                <w:sz w:val="21"/>
                <w:szCs w:val="21"/>
                <w:highlight w:val="none"/>
                <w:lang w:val="en-US" w:eastAsia="zh-CN"/>
              </w:rPr>
              <w:t>供应商提供的售后服务保障措施，包括企业提供本地化服务的措施、售后人员数量、专业性等</w:t>
            </w:r>
            <w:r>
              <w:rPr>
                <w:rFonts w:hint="eastAsia" w:ascii="宋体" w:hAnsi="宋体" w:eastAsia="宋体" w:cs="宋体"/>
                <w:b w:val="0"/>
                <w:bCs w:val="0"/>
                <w:color w:val="auto"/>
                <w:sz w:val="21"/>
                <w:szCs w:val="21"/>
                <w:highlight w:val="none"/>
                <w:lang w:val="en-US" w:eastAsia="zh-CN"/>
              </w:rPr>
              <w:t>进行打分。</w:t>
            </w:r>
          </w:p>
          <w:p w14:paraId="5E1E3A00">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kern w:val="2"/>
                <w:sz w:val="21"/>
                <w:szCs w:val="21"/>
                <w:highlight w:val="none"/>
              </w:rPr>
            </w:pPr>
            <w:r>
              <w:rPr>
                <w:rFonts w:hint="eastAsia" w:ascii="宋体" w:hAnsi="宋体" w:eastAsia="宋体" w:cs="宋体"/>
                <w:b w:val="0"/>
                <w:bCs w:val="0"/>
                <w:color w:val="auto"/>
                <w:kern w:val="2"/>
                <w:sz w:val="21"/>
                <w:szCs w:val="21"/>
                <w:highlight w:val="none"/>
                <w:lang w:val="en-US" w:eastAsia="zh-CN"/>
              </w:rPr>
              <w:t>保障措施</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的得4分；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3BEBF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72BBE8E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38A897CC">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14:paraId="1982F070">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tbl>
    <w:p w14:paraId="38C63B20">
      <w:pPr>
        <w:rPr>
          <w:rFonts w:hint="eastAsia" w:ascii="宋体" w:hAnsi="宋体" w:eastAsia="宋体" w:cs="宋体"/>
          <w:b/>
          <w:color w:val="auto"/>
          <w:highlight w:val="none"/>
        </w:rPr>
      </w:pPr>
      <w:r>
        <w:rPr>
          <w:rFonts w:hint="eastAsia" w:ascii="宋体" w:hAnsi="宋体" w:eastAsia="宋体" w:cs="宋体"/>
          <w:b/>
          <w:color w:val="auto"/>
          <w:highlight w:val="none"/>
        </w:rPr>
        <w:br w:type="page"/>
      </w:r>
    </w:p>
    <w:bookmarkEnd w:id="48"/>
    <w:p w14:paraId="2CCD7513">
      <w:pPr>
        <w:rPr>
          <w:rFonts w:hint="eastAsia" w:ascii="宋体" w:hAnsi="宋体" w:eastAsia="宋体" w:cs="宋体"/>
          <w:color w:val="auto"/>
          <w:highlight w:val="none"/>
        </w:rPr>
      </w:pPr>
      <w:bookmarkStart w:id="50" w:name="_Toc1947"/>
      <w:bookmarkStart w:id="51" w:name="_Toc1482"/>
      <w:bookmarkStart w:id="52" w:name="_Toc256519703"/>
      <w:bookmarkStart w:id="53" w:name="_Toc326786897"/>
    </w:p>
    <w:p w14:paraId="5A0BE0D1">
      <w:pPr>
        <w:pStyle w:val="2"/>
        <w:snapToGrid w:val="0"/>
        <w:spacing w:before="0" w:after="0" w:line="480" w:lineRule="auto"/>
        <w:jc w:val="center"/>
        <w:rPr>
          <w:rFonts w:hint="eastAsia" w:ascii="宋体" w:hAnsi="宋体" w:eastAsia="宋体" w:cs="宋体"/>
          <w:color w:val="auto"/>
          <w:sz w:val="28"/>
          <w:szCs w:val="28"/>
          <w:highlight w:val="none"/>
        </w:rPr>
      </w:pPr>
      <w:bookmarkStart w:id="54" w:name="_Toc11904"/>
      <w:r>
        <w:rPr>
          <w:rFonts w:hint="eastAsia" w:ascii="宋体" w:hAnsi="宋体" w:eastAsia="宋体" w:cs="宋体"/>
          <w:color w:val="auto"/>
          <w:sz w:val="28"/>
          <w:szCs w:val="28"/>
          <w:highlight w:val="none"/>
        </w:rPr>
        <w:t>第五章  采购合同</w:t>
      </w:r>
      <w:bookmarkEnd w:id="54"/>
    </w:p>
    <w:p w14:paraId="7203F7C0">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以实际合同为准</w:t>
      </w:r>
      <w:r>
        <w:rPr>
          <w:rFonts w:hint="eastAsia" w:ascii="宋体" w:hAnsi="宋体" w:eastAsia="宋体" w:cs="宋体"/>
          <w:color w:val="auto"/>
          <w:sz w:val="21"/>
          <w:szCs w:val="21"/>
          <w:highlight w:val="none"/>
          <w:lang w:eastAsia="zh-CN"/>
        </w:rPr>
        <w:t>）</w:t>
      </w:r>
    </w:p>
    <w:p w14:paraId="04849F9F">
      <w:pPr>
        <w:rPr>
          <w:rFonts w:hint="eastAsia" w:ascii="宋体" w:hAnsi="宋体" w:eastAsia="宋体" w:cs="宋体"/>
          <w:color w:val="auto"/>
          <w:sz w:val="32"/>
          <w:szCs w:val="32"/>
          <w:highlight w:val="none"/>
        </w:rPr>
      </w:pPr>
    </w:p>
    <w:p w14:paraId="4150DAB8">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24F83DAA">
      <w:pPr>
        <w:pStyle w:val="32"/>
        <w:rPr>
          <w:rFonts w:hint="eastAsia" w:ascii="宋体" w:hAnsi="宋体" w:eastAsia="宋体" w:cs="宋体"/>
          <w:color w:val="auto"/>
          <w:highlight w:val="none"/>
        </w:rPr>
      </w:pPr>
    </w:p>
    <w:p w14:paraId="30EBB8A6">
      <w:pPr>
        <w:pStyle w:val="2"/>
        <w:jc w:val="center"/>
        <w:rPr>
          <w:rFonts w:hint="eastAsia" w:ascii="宋体" w:hAnsi="宋体" w:eastAsia="宋体" w:cs="宋体"/>
          <w:color w:val="auto"/>
          <w:kern w:val="0"/>
          <w:highlight w:val="none"/>
        </w:rPr>
      </w:pPr>
      <w:bookmarkStart w:id="55" w:name="_Toc18702"/>
      <w:r>
        <w:rPr>
          <w:rFonts w:hint="eastAsia" w:ascii="宋体" w:hAnsi="宋体" w:eastAsia="宋体" w:cs="宋体"/>
          <w:color w:val="auto"/>
          <w:sz w:val="32"/>
          <w:szCs w:val="32"/>
          <w:highlight w:val="none"/>
        </w:rPr>
        <w:t xml:space="preserve">第六章  </w:t>
      </w:r>
      <w:r>
        <w:rPr>
          <w:rFonts w:hint="eastAsia" w:ascii="宋体" w:hAnsi="宋体" w:eastAsia="宋体" w:cs="宋体"/>
          <w:color w:val="auto"/>
          <w:sz w:val="32"/>
          <w:szCs w:val="32"/>
          <w:highlight w:val="none"/>
          <w:lang w:val="en-US" w:eastAsia="zh-CN"/>
        </w:rPr>
        <w:t>响应</w:t>
      </w:r>
      <w:r>
        <w:rPr>
          <w:rFonts w:hint="eastAsia" w:ascii="宋体" w:hAnsi="宋体" w:eastAsia="宋体" w:cs="宋体"/>
          <w:color w:val="auto"/>
          <w:sz w:val="32"/>
          <w:szCs w:val="32"/>
          <w:highlight w:val="none"/>
        </w:rPr>
        <w:t>文件格式</w:t>
      </w:r>
      <w:bookmarkEnd w:id="50"/>
      <w:bookmarkEnd w:id="51"/>
      <w:bookmarkEnd w:id="55"/>
    </w:p>
    <w:p w14:paraId="5164A6B6">
      <w:pPr>
        <w:spacing w:line="440" w:lineRule="exact"/>
        <w:rPr>
          <w:rFonts w:hint="eastAsia" w:ascii="宋体" w:hAnsi="宋体" w:eastAsia="宋体" w:cs="宋体"/>
          <w:color w:val="auto"/>
          <w:sz w:val="24"/>
          <w:highlight w:val="none"/>
        </w:rPr>
      </w:pPr>
    </w:p>
    <w:p w14:paraId="1238A038">
      <w:pPr>
        <w:jc w:val="center"/>
        <w:rPr>
          <w:rFonts w:hint="eastAsia" w:ascii="宋体" w:hAnsi="宋体" w:eastAsia="宋体" w:cs="宋体"/>
          <w:b/>
          <w:bCs/>
          <w:color w:val="auto"/>
          <w:sz w:val="32"/>
          <w:szCs w:val="32"/>
          <w:highlight w:val="none"/>
        </w:rPr>
      </w:pPr>
      <w:bookmarkStart w:id="56" w:name="_Toc13604"/>
      <w:r>
        <w:rPr>
          <w:rFonts w:hint="eastAsia" w:ascii="宋体" w:hAnsi="宋体" w:eastAsia="宋体" w:cs="宋体"/>
          <w:b/>
          <w:bCs/>
          <w:color w:val="auto"/>
          <w:sz w:val="32"/>
          <w:szCs w:val="32"/>
          <w:highlight w:val="none"/>
        </w:rPr>
        <w:t>目    录</w:t>
      </w:r>
      <w:bookmarkEnd w:id="56"/>
    </w:p>
    <w:p w14:paraId="3DEA2778">
      <w:pPr>
        <w:widowControl/>
        <w:wordWrap w:val="0"/>
        <w:spacing w:line="460" w:lineRule="exact"/>
        <w:ind w:firstLine="480" w:firstLineChars="200"/>
        <w:jc w:val="left"/>
        <w:rPr>
          <w:rFonts w:hint="eastAsia" w:ascii="宋体" w:hAnsi="宋体" w:eastAsia="宋体" w:cs="宋体"/>
          <w:color w:val="auto"/>
          <w:kern w:val="0"/>
          <w:sz w:val="24"/>
          <w:highlight w:val="none"/>
        </w:rPr>
      </w:pPr>
    </w:p>
    <w:p w14:paraId="02B20E01">
      <w:pPr>
        <w:snapToGrid w:val="0"/>
        <w:spacing w:line="360" w:lineRule="auto"/>
        <w:ind w:firstLine="480" w:firstLineChars="200"/>
        <w:rPr>
          <w:rFonts w:hint="eastAsia" w:ascii="宋体" w:hAnsi="宋体" w:eastAsia="宋体" w:cs="宋体"/>
          <w:color w:val="auto"/>
          <w:sz w:val="24"/>
          <w:highlight w:val="none"/>
        </w:rPr>
      </w:pPr>
      <w:bookmarkStart w:id="57" w:name="_Toc11308"/>
      <w:r>
        <w:rPr>
          <w:rFonts w:hint="eastAsia" w:ascii="宋体" w:hAnsi="宋体" w:eastAsia="宋体" w:cs="宋体"/>
          <w:color w:val="auto"/>
          <w:sz w:val="24"/>
          <w:highlight w:val="none"/>
        </w:rPr>
        <w:t>附件1</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sz w:val="24"/>
          <w:highlight w:val="none"/>
        </w:rPr>
        <w:t>文件封面（格式）</w:t>
      </w:r>
      <w:bookmarkEnd w:id="57"/>
    </w:p>
    <w:p w14:paraId="6AB0C51F">
      <w:pPr>
        <w:snapToGrid w:val="0"/>
        <w:spacing w:line="360" w:lineRule="auto"/>
        <w:ind w:firstLine="480" w:firstLineChars="200"/>
        <w:rPr>
          <w:rFonts w:hint="eastAsia" w:ascii="宋体" w:hAnsi="宋体" w:eastAsia="宋体" w:cs="宋体"/>
          <w:color w:val="auto"/>
          <w:sz w:val="24"/>
          <w:highlight w:val="none"/>
        </w:rPr>
      </w:pPr>
      <w:bookmarkStart w:id="58" w:name="_Toc25345"/>
      <w:r>
        <w:rPr>
          <w:rFonts w:hint="eastAsia" w:ascii="宋体" w:hAnsi="宋体" w:eastAsia="宋体" w:cs="宋体"/>
          <w:color w:val="auto"/>
          <w:sz w:val="24"/>
          <w:highlight w:val="none"/>
        </w:rPr>
        <w:t>附件2 投标书（格式）</w:t>
      </w:r>
      <w:bookmarkEnd w:id="58"/>
    </w:p>
    <w:p w14:paraId="767965AA">
      <w:pPr>
        <w:snapToGrid w:val="0"/>
        <w:spacing w:line="360" w:lineRule="auto"/>
        <w:ind w:firstLine="480" w:firstLineChars="200"/>
        <w:rPr>
          <w:rFonts w:hint="eastAsia" w:ascii="宋体" w:hAnsi="宋体" w:eastAsia="宋体" w:cs="宋体"/>
          <w:color w:val="auto"/>
          <w:sz w:val="24"/>
          <w:highlight w:val="none"/>
        </w:rPr>
      </w:pPr>
      <w:bookmarkStart w:id="59" w:name="_Toc10217"/>
      <w:r>
        <w:rPr>
          <w:rFonts w:hint="eastAsia" w:ascii="宋体" w:hAnsi="宋体" w:eastAsia="宋体" w:cs="宋体"/>
          <w:color w:val="auto"/>
          <w:sz w:val="24"/>
          <w:highlight w:val="none"/>
        </w:rPr>
        <w:t>附件3 开标一览表（格式）</w:t>
      </w:r>
      <w:bookmarkEnd w:id="59"/>
    </w:p>
    <w:p w14:paraId="3691EBDD">
      <w:pPr>
        <w:snapToGrid w:val="0"/>
        <w:spacing w:line="360" w:lineRule="auto"/>
        <w:ind w:firstLine="480" w:firstLineChars="200"/>
        <w:rPr>
          <w:rFonts w:hint="eastAsia" w:ascii="宋体" w:hAnsi="宋体" w:eastAsia="宋体" w:cs="宋体"/>
          <w:color w:val="auto"/>
          <w:sz w:val="24"/>
          <w:highlight w:val="none"/>
          <w:lang w:val="en-US"/>
        </w:rPr>
      </w:pPr>
      <w:bookmarkStart w:id="60" w:name="_Toc9579"/>
      <w:r>
        <w:rPr>
          <w:rFonts w:hint="eastAsia" w:ascii="宋体" w:hAnsi="宋体" w:eastAsia="宋体" w:cs="宋体"/>
          <w:color w:val="auto"/>
          <w:sz w:val="24"/>
          <w:highlight w:val="none"/>
        </w:rPr>
        <w:t xml:space="preserve">附件4 </w:t>
      </w:r>
      <w:bookmarkEnd w:id="60"/>
      <w:r>
        <w:rPr>
          <w:rFonts w:hint="eastAsia" w:ascii="宋体" w:hAnsi="宋体" w:eastAsia="宋体" w:cs="宋体"/>
          <w:color w:val="auto"/>
          <w:sz w:val="24"/>
          <w:highlight w:val="none"/>
          <w:lang w:val="en-US" w:eastAsia="zh-CN"/>
        </w:rPr>
        <w:t>报价明细表（格式）</w:t>
      </w:r>
    </w:p>
    <w:p w14:paraId="1C6066E6">
      <w:pPr>
        <w:snapToGrid w:val="0"/>
        <w:spacing w:line="360" w:lineRule="auto"/>
        <w:ind w:firstLine="480" w:firstLineChars="200"/>
        <w:rPr>
          <w:rFonts w:hint="eastAsia" w:ascii="宋体" w:hAnsi="宋体" w:eastAsia="宋体" w:cs="宋体"/>
          <w:color w:val="auto"/>
          <w:sz w:val="24"/>
          <w:highlight w:val="none"/>
          <w:lang w:val="en-US"/>
        </w:rPr>
      </w:pPr>
      <w:bookmarkStart w:id="61" w:name="_Toc28392"/>
      <w:r>
        <w:rPr>
          <w:rFonts w:hint="eastAsia" w:ascii="宋体" w:hAnsi="宋体" w:eastAsia="宋体" w:cs="宋体"/>
          <w:color w:val="auto"/>
          <w:sz w:val="24"/>
          <w:highlight w:val="none"/>
        </w:rPr>
        <w:t>附件5</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技术</w:t>
      </w:r>
      <w:r>
        <w:rPr>
          <w:rFonts w:hint="eastAsia" w:ascii="宋体" w:hAnsi="宋体" w:eastAsia="宋体" w:cs="宋体"/>
          <w:color w:val="auto"/>
          <w:sz w:val="24"/>
          <w:highlight w:val="none"/>
          <w:lang w:val="en-US" w:eastAsia="zh-CN"/>
        </w:rPr>
        <w:t>响应</w:t>
      </w:r>
      <w:bookmarkEnd w:id="61"/>
      <w:r>
        <w:rPr>
          <w:rFonts w:hint="eastAsia" w:ascii="宋体" w:hAnsi="宋体" w:eastAsia="宋体" w:cs="宋体"/>
          <w:color w:val="auto"/>
          <w:sz w:val="24"/>
          <w:highlight w:val="none"/>
          <w:lang w:val="en-US" w:eastAsia="zh-CN"/>
        </w:rPr>
        <w:t>表（格式）</w:t>
      </w:r>
    </w:p>
    <w:p w14:paraId="15A5B1E4">
      <w:pPr>
        <w:snapToGrid w:val="0"/>
        <w:spacing w:line="360" w:lineRule="auto"/>
        <w:ind w:firstLine="480" w:firstLineChars="200"/>
        <w:rPr>
          <w:rFonts w:hint="eastAsia" w:ascii="宋体" w:hAnsi="宋体" w:eastAsia="宋体" w:cs="宋体"/>
          <w:color w:val="auto"/>
          <w:sz w:val="24"/>
          <w:highlight w:val="none"/>
          <w:lang w:val="en-US" w:eastAsia="zh-CN"/>
        </w:rPr>
      </w:pPr>
      <w:bookmarkStart w:id="62" w:name="_Toc6234"/>
      <w:r>
        <w:rPr>
          <w:rFonts w:hint="eastAsia" w:ascii="宋体" w:hAnsi="宋体" w:eastAsia="宋体" w:cs="宋体"/>
          <w:color w:val="auto"/>
          <w:sz w:val="24"/>
          <w:highlight w:val="none"/>
        </w:rPr>
        <w:t xml:space="preserve">附件6 </w:t>
      </w:r>
      <w:bookmarkEnd w:id="62"/>
      <w:r>
        <w:rPr>
          <w:rFonts w:hint="eastAsia" w:ascii="宋体" w:hAnsi="宋体" w:eastAsia="宋体" w:cs="宋体"/>
          <w:color w:val="auto"/>
          <w:sz w:val="24"/>
          <w:highlight w:val="none"/>
          <w:lang w:val="en-US" w:eastAsia="zh-CN"/>
        </w:rPr>
        <w:t>商务响应表（格式）</w:t>
      </w:r>
    </w:p>
    <w:p w14:paraId="19312541">
      <w:pPr>
        <w:snapToGrid w:val="0"/>
        <w:spacing w:line="360" w:lineRule="auto"/>
        <w:ind w:firstLine="480" w:firstLineChars="200"/>
        <w:rPr>
          <w:rFonts w:hint="eastAsia" w:ascii="宋体" w:hAnsi="宋体" w:eastAsia="宋体" w:cs="宋体"/>
          <w:color w:val="auto"/>
          <w:sz w:val="24"/>
          <w:highlight w:val="none"/>
        </w:rPr>
      </w:pPr>
      <w:bookmarkStart w:id="63" w:name="_Toc26231"/>
      <w:r>
        <w:rPr>
          <w:rFonts w:hint="eastAsia" w:ascii="宋体" w:hAnsi="宋体" w:eastAsia="宋体" w:cs="宋体"/>
          <w:color w:val="auto"/>
          <w:sz w:val="24"/>
          <w:highlight w:val="none"/>
        </w:rPr>
        <w:t>附件7</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法定代表人身份证明（格式）</w:t>
      </w:r>
      <w:bookmarkEnd w:id="63"/>
    </w:p>
    <w:p w14:paraId="73242694">
      <w:pPr>
        <w:snapToGrid w:val="0"/>
        <w:spacing w:line="360" w:lineRule="auto"/>
        <w:ind w:firstLine="480" w:firstLineChars="200"/>
        <w:rPr>
          <w:rFonts w:hint="eastAsia" w:ascii="宋体" w:hAnsi="宋体" w:eastAsia="宋体" w:cs="宋体"/>
          <w:color w:val="auto"/>
          <w:sz w:val="24"/>
          <w:highlight w:val="none"/>
        </w:rPr>
      </w:pPr>
      <w:bookmarkStart w:id="64" w:name="_Toc18484"/>
      <w:r>
        <w:rPr>
          <w:rFonts w:hint="eastAsia" w:ascii="宋体" w:hAnsi="宋体" w:eastAsia="宋体" w:cs="宋体"/>
          <w:color w:val="auto"/>
          <w:sz w:val="24"/>
          <w:highlight w:val="none"/>
        </w:rPr>
        <w:t>附件8</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法定代表人授权书（格式）</w:t>
      </w:r>
      <w:bookmarkEnd w:id="64"/>
    </w:p>
    <w:p w14:paraId="222B26A2">
      <w:pPr>
        <w:snapToGrid w:val="0"/>
        <w:spacing w:line="360" w:lineRule="auto"/>
        <w:ind w:firstLine="480" w:firstLineChars="200"/>
        <w:rPr>
          <w:rFonts w:hint="eastAsia" w:ascii="宋体" w:hAnsi="宋体" w:eastAsia="宋体" w:cs="宋体"/>
          <w:color w:val="auto"/>
          <w:sz w:val="24"/>
          <w:highlight w:val="none"/>
        </w:rPr>
      </w:pPr>
      <w:bookmarkStart w:id="65" w:name="_Toc31857"/>
      <w:r>
        <w:rPr>
          <w:rFonts w:hint="eastAsia" w:ascii="宋体" w:hAnsi="宋体" w:eastAsia="宋体" w:cs="宋体"/>
          <w:color w:val="auto"/>
          <w:sz w:val="24"/>
          <w:highlight w:val="none"/>
        </w:rPr>
        <w:t>附件9 证明文件</w:t>
      </w:r>
      <w:bookmarkEnd w:id="65"/>
    </w:p>
    <w:p w14:paraId="0927E7C0">
      <w:pPr>
        <w:snapToGrid w:val="0"/>
        <w:spacing w:line="360" w:lineRule="auto"/>
        <w:ind w:firstLine="480" w:firstLineChars="200"/>
        <w:rPr>
          <w:rFonts w:hint="eastAsia" w:ascii="宋体" w:hAnsi="宋体" w:eastAsia="宋体" w:cs="宋体"/>
          <w:color w:val="auto"/>
          <w:sz w:val="24"/>
          <w:highlight w:val="none"/>
        </w:rPr>
      </w:pPr>
      <w:bookmarkStart w:id="66" w:name="_Toc23116"/>
      <w:r>
        <w:rPr>
          <w:rFonts w:hint="eastAsia" w:ascii="宋体" w:hAnsi="宋体" w:eastAsia="宋体" w:cs="宋体"/>
          <w:color w:val="auto"/>
          <w:sz w:val="24"/>
          <w:highlight w:val="none"/>
        </w:rPr>
        <w:t>附件10 供应商承诺书（格式）</w:t>
      </w:r>
      <w:bookmarkEnd w:id="66"/>
    </w:p>
    <w:p w14:paraId="7C4E2766">
      <w:pPr>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附件11 供应商信用承诺函（格式）</w:t>
      </w:r>
    </w:p>
    <w:p w14:paraId="63BA1F9E">
      <w:pPr>
        <w:pStyle w:val="32"/>
        <w:rPr>
          <w:rFonts w:hint="eastAsia" w:ascii="宋体" w:hAnsi="宋体" w:eastAsia="宋体" w:cs="宋体"/>
          <w:color w:val="auto"/>
          <w:highlight w:val="none"/>
        </w:rPr>
      </w:pPr>
    </w:p>
    <w:p w14:paraId="174F59CE">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66D3C60E">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643C59F7">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671DFAE3">
      <w:pPr>
        <w:pStyle w:val="3"/>
        <w:rPr>
          <w:rFonts w:hint="eastAsia" w:ascii="宋体" w:hAnsi="宋体" w:eastAsia="宋体" w:cs="宋体"/>
          <w:b/>
          <w:bCs/>
          <w:color w:val="auto"/>
          <w:kern w:val="0"/>
          <w:sz w:val="24"/>
          <w:highlight w:val="none"/>
        </w:rPr>
      </w:pPr>
    </w:p>
    <w:p w14:paraId="736844FA">
      <w:pPr>
        <w:pStyle w:val="4"/>
        <w:rPr>
          <w:rFonts w:hint="eastAsia" w:ascii="宋体" w:hAnsi="宋体" w:eastAsia="宋体" w:cs="宋体"/>
          <w:b/>
          <w:bCs/>
          <w:color w:val="auto"/>
          <w:highlight w:val="none"/>
        </w:rPr>
      </w:pPr>
    </w:p>
    <w:p w14:paraId="7C048156">
      <w:pPr>
        <w:pStyle w:val="4"/>
        <w:rPr>
          <w:rFonts w:hint="eastAsia" w:ascii="宋体" w:hAnsi="宋体" w:eastAsia="宋体" w:cs="宋体"/>
          <w:b/>
          <w:bCs/>
          <w:color w:val="auto"/>
          <w:highlight w:val="none"/>
        </w:rPr>
      </w:pPr>
    </w:p>
    <w:p w14:paraId="6EFF072B">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0CFBE809">
      <w:pPr>
        <w:pStyle w:val="27"/>
        <w:rPr>
          <w:rFonts w:hint="eastAsia" w:ascii="宋体" w:hAnsi="宋体" w:eastAsia="宋体" w:cs="宋体"/>
          <w:color w:val="auto"/>
          <w:highlight w:val="none"/>
        </w:rPr>
      </w:pPr>
    </w:p>
    <w:p w14:paraId="67FE75CD">
      <w:pPr>
        <w:pStyle w:val="5"/>
        <w:keepNext/>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sz w:val="28"/>
          <w:szCs w:val="28"/>
          <w:highlight w:val="none"/>
        </w:rPr>
      </w:pPr>
      <w:bookmarkStart w:id="67" w:name="_Toc31798"/>
      <w:bookmarkStart w:id="68" w:name="_Toc24743"/>
      <w:r>
        <w:rPr>
          <w:rFonts w:hint="eastAsia" w:ascii="宋体" w:hAnsi="宋体" w:eastAsia="宋体" w:cs="宋体"/>
          <w:color w:val="auto"/>
          <w:sz w:val="28"/>
          <w:szCs w:val="28"/>
          <w:highlight w:val="none"/>
        </w:rPr>
        <w:t xml:space="preserve">附件1               </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rPr>
        <w:t>文件封面（格式）</w:t>
      </w:r>
      <w:bookmarkEnd w:id="67"/>
      <w:bookmarkEnd w:id="68"/>
    </w:p>
    <w:p w14:paraId="3A0AC99C">
      <w:pPr>
        <w:widowControl/>
        <w:wordWrap w:val="0"/>
        <w:spacing w:line="460" w:lineRule="exact"/>
        <w:ind w:firstLine="482" w:firstLineChars="200"/>
        <w:jc w:val="center"/>
        <w:rPr>
          <w:rFonts w:hint="eastAsia" w:ascii="宋体" w:hAnsi="宋体" w:eastAsia="宋体" w:cs="宋体"/>
          <w:b/>
          <w:color w:val="auto"/>
          <w:kern w:val="0"/>
          <w:sz w:val="24"/>
          <w:highlight w:val="none"/>
        </w:rPr>
      </w:pPr>
    </w:p>
    <w:p w14:paraId="60EF64BA">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驻马店市中心医院2025年监护除颤类、血压计类、理疗类、医用灯泡类常用配件招标项目（二次）</w:t>
      </w:r>
    </w:p>
    <w:p w14:paraId="37E7F995">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lang w:val="en-US" w:eastAsia="zh-CN"/>
        </w:rPr>
        <w:t>响应</w:t>
      </w:r>
      <w:r>
        <w:rPr>
          <w:rFonts w:hint="eastAsia" w:ascii="宋体" w:hAnsi="宋体" w:eastAsia="宋体" w:cs="宋体"/>
          <w:b/>
          <w:color w:val="auto"/>
          <w:spacing w:val="90"/>
          <w:sz w:val="52"/>
          <w:szCs w:val="52"/>
          <w:highlight w:val="none"/>
        </w:rPr>
        <w:t>文件</w:t>
      </w:r>
    </w:p>
    <w:p w14:paraId="2A04A499">
      <w:pPr>
        <w:spacing w:line="360" w:lineRule="auto"/>
        <w:rPr>
          <w:rFonts w:hint="eastAsia" w:ascii="宋体" w:hAnsi="宋体" w:eastAsia="宋体" w:cs="宋体"/>
          <w:color w:val="auto"/>
          <w:sz w:val="28"/>
          <w:highlight w:val="none"/>
        </w:rPr>
      </w:pPr>
    </w:p>
    <w:p w14:paraId="596DC1AB">
      <w:pPr>
        <w:pStyle w:val="4"/>
        <w:spacing w:line="360" w:lineRule="auto"/>
        <w:rPr>
          <w:rFonts w:hint="eastAsia" w:ascii="宋体" w:hAnsi="宋体" w:eastAsia="宋体" w:cs="宋体"/>
          <w:color w:val="auto"/>
          <w:highlight w:val="none"/>
        </w:rPr>
      </w:pPr>
    </w:p>
    <w:p w14:paraId="51E48B65">
      <w:pPr>
        <w:pStyle w:val="4"/>
        <w:spacing w:line="360" w:lineRule="auto"/>
        <w:rPr>
          <w:rFonts w:hint="eastAsia" w:ascii="宋体" w:hAnsi="宋体" w:eastAsia="宋体" w:cs="宋体"/>
          <w:color w:val="auto"/>
          <w:highlight w:val="none"/>
        </w:rPr>
      </w:pPr>
    </w:p>
    <w:p w14:paraId="0AF50E0B">
      <w:pPr>
        <w:spacing w:line="360" w:lineRule="auto"/>
        <w:rPr>
          <w:rFonts w:hint="eastAsia" w:ascii="宋体" w:hAnsi="宋体" w:eastAsia="宋体" w:cs="宋体"/>
          <w:color w:val="auto"/>
          <w:sz w:val="28"/>
          <w:highlight w:val="none"/>
        </w:rPr>
      </w:pPr>
    </w:p>
    <w:p w14:paraId="5DD912A3">
      <w:pPr>
        <w:spacing w:line="360" w:lineRule="auto"/>
        <w:rPr>
          <w:rFonts w:hint="eastAsia" w:ascii="宋体" w:hAnsi="宋体" w:eastAsia="宋体" w:cs="宋体"/>
          <w:color w:val="auto"/>
          <w:sz w:val="28"/>
          <w:highlight w:val="none"/>
        </w:rPr>
      </w:pPr>
    </w:p>
    <w:p w14:paraId="5C511D16">
      <w:pPr>
        <w:spacing w:line="360" w:lineRule="auto"/>
        <w:rPr>
          <w:rFonts w:hint="eastAsia" w:ascii="宋体" w:hAnsi="宋体" w:eastAsia="宋体" w:cs="宋体"/>
          <w:color w:val="auto"/>
          <w:sz w:val="28"/>
          <w:highlight w:val="none"/>
        </w:rPr>
      </w:pPr>
    </w:p>
    <w:p w14:paraId="5F7D4E3C">
      <w:pPr>
        <w:spacing w:line="360" w:lineRule="auto"/>
        <w:rPr>
          <w:rFonts w:hint="eastAsia" w:ascii="宋体" w:hAnsi="宋体" w:eastAsia="宋体" w:cs="宋体"/>
          <w:color w:val="auto"/>
          <w:sz w:val="28"/>
          <w:highlight w:val="none"/>
        </w:rPr>
      </w:pPr>
    </w:p>
    <w:p w14:paraId="4A8855A5">
      <w:pPr>
        <w:spacing w:line="360" w:lineRule="auto"/>
        <w:rPr>
          <w:rFonts w:hint="eastAsia" w:ascii="宋体" w:hAnsi="宋体" w:eastAsia="宋体" w:cs="宋体"/>
          <w:color w:val="auto"/>
          <w:sz w:val="28"/>
          <w:highlight w:val="none"/>
        </w:rPr>
      </w:pPr>
    </w:p>
    <w:p w14:paraId="6544AFF1">
      <w:pPr>
        <w:spacing w:line="360" w:lineRule="auto"/>
        <w:rPr>
          <w:rFonts w:hint="eastAsia" w:ascii="宋体" w:hAnsi="宋体" w:eastAsia="宋体" w:cs="宋体"/>
          <w:color w:val="auto"/>
          <w:sz w:val="28"/>
          <w:highlight w:val="none"/>
        </w:rPr>
      </w:pPr>
    </w:p>
    <w:p w14:paraId="26F246B9">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全称并</w:t>
      </w:r>
      <w:r>
        <w:rPr>
          <w:rFonts w:hint="eastAsia" w:ascii="宋体" w:hAnsi="宋体" w:eastAsia="宋体" w:cs="宋体"/>
          <w:color w:val="auto"/>
          <w:sz w:val="28"/>
          <w:szCs w:val="28"/>
          <w:highlight w:val="none"/>
          <w:lang w:val="en-US" w:eastAsia="zh-CN"/>
        </w:rPr>
        <w:t>加</w:t>
      </w:r>
      <w:r>
        <w:rPr>
          <w:rFonts w:hint="eastAsia" w:ascii="宋体" w:hAnsi="宋体" w:eastAsia="宋体" w:cs="宋体"/>
          <w:color w:val="auto"/>
          <w:sz w:val="28"/>
          <w:szCs w:val="28"/>
          <w:highlight w:val="none"/>
          <w:lang w:eastAsia="zh-CN"/>
        </w:rPr>
        <w:t>盖</w:t>
      </w:r>
      <w:r>
        <w:rPr>
          <w:rFonts w:hint="eastAsia" w:ascii="宋体" w:hAnsi="宋体" w:eastAsia="宋体" w:cs="宋体"/>
          <w:color w:val="auto"/>
          <w:sz w:val="28"/>
          <w:szCs w:val="28"/>
          <w:highlight w:val="none"/>
          <w:lang w:val="en-US" w:eastAsia="zh-CN"/>
        </w:rPr>
        <w:t>公</w:t>
      </w:r>
      <w:r>
        <w:rPr>
          <w:rFonts w:hint="eastAsia" w:ascii="宋体" w:hAnsi="宋体" w:eastAsia="宋体" w:cs="宋体"/>
          <w:color w:val="auto"/>
          <w:sz w:val="28"/>
          <w:szCs w:val="28"/>
          <w:highlight w:val="none"/>
          <w:lang w:eastAsia="zh-CN"/>
        </w:rPr>
        <w:t>章</w:t>
      </w:r>
      <w:r>
        <w:rPr>
          <w:rFonts w:hint="eastAsia" w:ascii="宋体" w:hAnsi="宋体" w:eastAsia="宋体" w:cs="宋体"/>
          <w:color w:val="auto"/>
          <w:sz w:val="28"/>
          <w:szCs w:val="28"/>
          <w:highlight w:val="none"/>
        </w:rPr>
        <w:t>）：</w:t>
      </w:r>
    </w:p>
    <w:p w14:paraId="79D76E85">
      <w:pPr>
        <w:widowControl/>
        <w:wordWrap w:val="0"/>
        <w:spacing w:line="460" w:lineRule="exact"/>
        <w:ind w:left="0" w:lef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法定代表人或委托代理人（签字</w:t>
      </w:r>
      <w:r>
        <w:rPr>
          <w:rFonts w:hint="eastAsia" w:ascii="宋体" w:hAnsi="宋体" w:eastAsia="宋体" w:cs="宋体"/>
          <w:color w:val="auto"/>
          <w:sz w:val="28"/>
          <w:szCs w:val="28"/>
          <w:highlight w:val="none"/>
          <w:lang w:val="en-US" w:eastAsia="zh-CN"/>
        </w:rPr>
        <w:t>或盖章</w:t>
      </w:r>
      <w:r>
        <w:rPr>
          <w:rFonts w:hint="eastAsia" w:ascii="宋体" w:hAnsi="宋体" w:eastAsia="宋体" w:cs="宋体"/>
          <w:color w:val="auto"/>
          <w:sz w:val="28"/>
          <w:szCs w:val="28"/>
          <w:highlight w:val="none"/>
        </w:rPr>
        <w:t>）：</w:t>
      </w:r>
    </w:p>
    <w:p w14:paraId="4D5E55DE">
      <w:pPr>
        <w:widowControl/>
        <w:wordWrap w:val="0"/>
        <w:spacing w:line="460" w:lineRule="exact"/>
        <w:ind w:left="0" w:leftChars="0" w:firstLine="0" w:firstLineChars="0"/>
        <w:jc w:val="center"/>
        <w:rPr>
          <w:rFonts w:hint="eastAsia" w:ascii="宋体" w:hAnsi="宋体" w:eastAsia="宋体" w:cs="宋体"/>
          <w:b/>
          <w:color w:val="auto"/>
          <w:kern w:val="0"/>
          <w:sz w:val="24"/>
          <w:highlight w:val="none"/>
        </w:rPr>
      </w:pPr>
      <w:r>
        <w:rPr>
          <w:rFonts w:hint="eastAsia" w:ascii="宋体" w:hAnsi="宋体" w:eastAsia="宋体" w:cs="宋体"/>
          <w:color w:val="auto"/>
          <w:sz w:val="28"/>
          <w:szCs w:val="28"/>
          <w:highlight w:val="none"/>
        </w:rPr>
        <w:t>年   月   日</w:t>
      </w:r>
    </w:p>
    <w:p w14:paraId="55BD49F4">
      <w:pPr>
        <w:widowControl/>
        <w:wordWrap w:val="0"/>
        <w:spacing w:line="460" w:lineRule="exact"/>
        <w:ind w:firstLine="482" w:firstLineChars="200"/>
        <w:jc w:val="left"/>
        <w:rPr>
          <w:rFonts w:hint="eastAsia" w:ascii="宋体" w:hAnsi="宋体" w:eastAsia="宋体" w:cs="宋体"/>
          <w:b/>
          <w:color w:val="auto"/>
          <w:kern w:val="0"/>
          <w:sz w:val="24"/>
          <w:highlight w:val="none"/>
        </w:rPr>
      </w:pPr>
    </w:p>
    <w:p w14:paraId="608C8D96">
      <w:pPr>
        <w:pStyle w:val="3"/>
        <w:rPr>
          <w:rFonts w:hint="eastAsia" w:ascii="宋体" w:hAnsi="宋体" w:eastAsia="宋体" w:cs="宋体"/>
          <w:b/>
          <w:color w:val="auto"/>
          <w:kern w:val="0"/>
          <w:sz w:val="24"/>
          <w:highlight w:val="none"/>
        </w:rPr>
      </w:pPr>
    </w:p>
    <w:p w14:paraId="7B4C1E5E">
      <w:pP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14:paraId="5D8F552F">
      <w:pPr>
        <w:rPr>
          <w:rFonts w:hint="eastAsia" w:ascii="宋体" w:hAnsi="宋体" w:eastAsia="宋体" w:cs="宋体"/>
          <w:color w:val="auto"/>
          <w:highlight w:val="none"/>
        </w:rPr>
      </w:pPr>
    </w:p>
    <w:p w14:paraId="4F2DC55F">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69" w:name="_Toc14560"/>
      <w:bookmarkStart w:id="70" w:name="_Toc8818"/>
      <w:r>
        <w:rPr>
          <w:rFonts w:hint="eastAsia" w:ascii="宋体" w:hAnsi="宋体" w:eastAsia="宋体" w:cs="宋体"/>
          <w:color w:val="auto"/>
          <w:sz w:val="28"/>
          <w:szCs w:val="28"/>
          <w:highlight w:val="none"/>
          <w:lang w:val="en-US" w:eastAsia="zh-CN"/>
        </w:rPr>
        <w:t>附件2            投  标  书（格式）</w:t>
      </w:r>
      <w:bookmarkEnd w:id="69"/>
      <w:bookmarkEnd w:id="70"/>
    </w:p>
    <w:p w14:paraId="67AC1E72">
      <w:pPr>
        <w:widowControl/>
        <w:wordWrap w:val="0"/>
        <w:snapToGrid w:val="0"/>
        <w:spacing w:line="46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CN"/>
        </w:rPr>
        <w:t>采购人</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w:t>
      </w:r>
    </w:p>
    <w:p w14:paraId="3EE7C5AA">
      <w:pPr>
        <w:widowControl/>
        <w:wordWrap w:val="0"/>
        <w:spacing w:line="460" w:lineRule="exact"/>
        <w:ind w:firstLine="525" w:firstLineChars="25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u w:val="single"/>
        </w:rPr>
        <w:t>（</w:t>
      </w:r>
      <w:r>
        <w:rPr>
          <w:rFonts w:hint="eastAsia" w:ascii="宋体" w:hAnsi="宋体" w:eastAsia="宋体" w:cs="宋体"/>
          <w:color w:val="auto"/>
          <w:kern w:val="0"/>
          <w:szCs w:val="21"/>
          <w:highlight w:val="none"/>
          <w:u w:val="single"/>
          <w:lang w:eastAsia="zh-CN"/>
        </w:rPr>
        <w:t>供应商</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 xml:space="preserve">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（姓名）为我方代理人，参加贵方组织的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项目的</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。现正式提交下述文件1份：</w:t>
      </w:r>
    </w:p>
    <w:p w14:paraId="49F687D2">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1、开标一览表。</w:t>
      </w:r>
    </w:p>
    <w:p w14:paraId="00DA494B">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2、报价明细表。</w:t>
      </w:r>
    </w:p>
    <w:p w14:paraId="08E646E7">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3</w:t>
      </w:r>
      <w:r>
        <w:rPr>
          <w:rFonts w:hint="eastAsia" w:ascii="宋体" w:hAnsi="宋体" w:eastAsia="宋体" w:cs="宋体"/>
          <w:color w:val="auto"/>
          <w:kern w:val="0"/>
          <w:szCs w:val="21"/>
          <w:highlight w:val="none"/>
        </w:rPr>
        <w:t>、技术响应表。</w:t>
      </w:r>
    </w:p>
    <w:p w14:paraId="1B1B8706">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4</w:t>
      </w:r>
      <w:r>
        <w:rPr>
          <w:rFonts w:hint="eastAsia" w:ascii="宋体" w:hAnsi="宋体" w:eastAsia="宋体" w:cs="宋体"/>
          <w:color w:val="auto"/>
          <w:kern w:val="0"/>
          <w:szCs w:val="21"/>
          <w:highlight w:val="none"/>
        </w:rPr>
        <w:t>、商务响应表。</w:t>
      </w:r>
    </w:p>
    <w:p w14:paraId="0E978E90">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5</w:t>
      </w:r>
      <w:r>
        <w:rPr>
          <w:rFonts w:hint="eastAsia" w:ascii="宋体" w:hAnsi="宋体" w:eastAsia="宋体" w:cs="宋体"/>
          <w:color w:val="auto"/>
          <w:kern w:val="0"/>
          <w:szCs w:val="21"/>
          <w:highlight w:val="none"/>
        </w:rPr>
        <w:t>、证明文件。</w:t>
      </w:r>
    </w:p>
    <w:p w14:paraId="3FBE8353">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为便于贵方公正、择优地确定中标供应商及其投标产品和服务，我方就本次投标有关事项郑重声明并宣布同意如下：</w:t>
      </w:r>
    </w:p>
    <w:p w14:paraId="40C927B3">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1、我方承诺已经具备</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文件中规定的参加政府采购活动的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应当具备的条件。我方愿意向贵方提供任何与本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项目投标有关的数据、情况和技术资料，并根据需要提供一切承诺的证明材料，并保证其真实、合法、有效。</w:t>
      </w:r>
    </w:p>
    <w:p w14:paraId="60B57D12">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2、我方承诺在</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活动中提供的各种材料真实有效。</w:t>
      </w:r>
    </w:p>
    <w:p w14:paraId="367A57E3">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3、我方同意在</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文件有效期内遵守本</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文件中的承诺且在此期限期满之前均具有约束力。如果我方</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文件有效期与合同履行期相同。</w:t>
      </w:r>
    </w:p>
    <w:p w14:paraId="585D308B">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4、我方已详细审查全部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文件，包括修改文件（如有的话）和有关附件，将自行承担因对全部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文件理解不正确或误解而产生的相应后果。</w:t>
      </w:r>
    </w:p>
    <w:p w14:paraId="215B5A76">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5、我方保证尊重</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的评</w:t>
      </w:r>
      <w:r>
        <w:rPr>
          <w:rFonts w:hint="eastAsia" w:ascii="宋体" w:hAnsi="宋体" w:eastAsia="宋体" w:cs="宋体"/>
          <w:color w:val="auto"/>
          <w:kern w:val="0"/>
          <w:szCs w:val="21"/>
          <w:highlight w:val="none"/>
          <w:lang w:val="en-US" w:eastAsia="zh-CN"/>
        </w:rPr>
        <w:t>审</w:t>
      </w:r>
      <w:r>
        <w:rPr>
          <w:rFonts w:hint="eastAsia" w:ascii="宋体" w:hAnsi="宋体" w:eastAsia="宋体" w:cs="宋体"/>
          <w:color w:val="auto"/>
          <w:kern w:val="0"/>
          <w:szCs w:val="21"/>
          <w:highlight w:val="none"/>
        </w:rPr>
        <w:t>结果，完全理解本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项目最低投标价不作为</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的保证。</w:t>
      </w:r>
    </w:p>
    <w:p w14:paraId="037666F6">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6、我方理解并遵守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文件的全部规定，接受</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文件中政府采购合同的全部条款且无任何异议。</w:t>
      </w:r>
    </w:p>
    <w:p w14:paraId="5DDB71B9">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7、如果我方代表</w:t>
      </w:r>
      <w:r>
        <w:rPr>
          <w:rFonts w:hint="eastAsia" w:ascii="宋体" w:hAnsi="宋体" w:eastAsia="宋体" w:cs="宋体"/>
          <w:bCs/>
          <w:color w:val="auto"/>
          <w:kern w:val="0"/>
          <w:szCs w:val="21"/>
          <w:highlight w:val="none"/>
        </w:rPr>
        <w:t>未按时参加开标的，视同放弃开标监督权利，认可开标结果。</w:t>
      </w:r>
    </w:p>
    <w:p w14:paraId="260130A0">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8、如果我方存在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须知第9.3项所述情况，同意被认定为在经营活动中有重大违法记录。</w:t>
      </w:r>
    </w:p>
    <w:p w14:paraId="0986EED1">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9、如果发生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.4.1、2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.4.3项所述情况，同意我方投标被作为无效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处理。</w:t>
      </w:r>
    </w:p>
    <w:p w14:paraId="40611F1D">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10、如果发生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.5项所述情况，同意</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认定我方的行为属于串通投标的行为，并自愿接受监管部门的处罚。</w:t>
      </w:r>
    </w:p>
    <w:p w14:paraId="75E164B2">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11、如果现场变更采购方式，我方同意在不改变</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需求、资质条件等情况下，按变更后的采购方式的规定程序进行采购。</w:t>
      </w:r>
    </w:p>
    <w:p w14:paraId="32832C1B">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12、如果被确定为</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供应商，我方同意按</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并缴纳服务费。否则，视为我方</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后自动放弃中标资格，承担由此引起的一切后果。</w:t>
      </w:r>
    </w:p>
    <w:p w14:paraId="3E427AB7">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13、如果被确定为</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供应商，我方同意在领取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之日起</w:t>
      </w:r>
      <w:r>
        <w:rPr>
          <w:rFonts w:hint="eastAsia" w:ascii="宋体" w:hAnsi="宋体" w:eastAsia="宋体" w:cs="宋体"/>
          <w:color w:val="auto"/>
          <w:kern w:val="0"/>
          <w:szCs w:val="21"/>
          <w:highlight w:val="none"/>
          <w:u w:val="single"/>
          <w:lang w:val="en-US" w:eastAsia="zh-CN"/>
        </w:rPr>
        <w:t xml:space="preserve"> 30  </w:t>
      </w:r>
      <w:r>
        <w:rPr>
          <w:rFonts w:hint="eastAsia" w:ascii="宋体" w:hAnsi="宋体" w:eastAsia="宋体" w:cs="宋体"/>
          <w:color w:val="auto"/>
          <w:kern w:val="0"/>
          <w:szCs w:val="21"/>
          <w:highlight w:val="none"/>
        </w:rPr>
        <w:t>日内，按照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文件的规定与采购人签订采购合同。否则，视为我方</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后无正当理由不与采购人签订合同并承担相应法律责任。</w:t>
      </w:r>
    </w:p>
    <w:p w14:paraId="19CD535E">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14、我方最近3年内的被公开披露或查处的违法违规行为有：</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lang w:val="en-US" w:eastAsia="zh-CN"/>
        </w:rPr>
        <w:t>若无，则填无；若有，逐一列明</w:t>
      </w:r>
      <w:r>
        <w:rPr>
          <w:rFonts w:hint="eastAsia" w:ascii="宋体" w:hAnsi="宋体" w:cs="宋体"/>
          <w:b/>
          <w:bCs/>
          <w:color w:val="auto"/>
          <w:kern w:val="0"/>
          <w:szCs w:val="21"/>
          <w:highlight w:val="none"/>
          <w:lang w:eastAsia="zh-CN"/>
        </w:rPr>
        <w:t>）</w:t>
      </w:r>
    </w:p>
    <w:p w14:paraId="6E9B792B">
      <w:pPr>
        <w:widowControl/>
        <w:tabs>
          <w:tab w:val="left" w:pos="939"/>
        </w:tabs>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15、以上事项如有虚假或隐瞒，我方愿意承担一切后果和责任。</w:t>
      </w:r>
    </w:p>
    <w:p w14:paraId="4F5F1F60">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16、与</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有关的一切正式往来通讯请寄（地址电话必须为最新并可以联系到）：</w:t>
      </w:r>
    </w:p>
    <w:p w14:paraId="096D1A4D">
      <w:pPr>
        <w:widowControl/>
        <w:wordWrap w:val="0"/>
        <w:spacing w:line="460" w:lineRule="exact"/>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地址：  </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邮编：</w:t>
      </w:r>
    </w:p>
    <w:p w14:paraId="2CE1D3D1">
      <w:pPr>
        <w:widowControl/>
        <w:wordWrap w:val="0"/>
        <w:spacing w:line="460" w:lineRule="exact"/>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电话：  </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 xml:space="preserve">传真： </w:t>
      </w:r>
    </w:p>
    <w:p w14:paraId="0CA59689">
      <w:pPr>
        <w:widowControl/>
        <w:wordWrap w:val="0"/>
        <w:spacing w:line="460" w:lineRule="exact"/>
        <w:ind w:firstLine="420" w:firstLineChars="200"/>
        <w:jc w:val="left"/>
        <w:rPr>
          <w:rFonts w:hint="eastAsia" w:ascii="宋体" w:hAnsi="宋体" w:eastAsia="宋体" w:cs="宋体"/>
          <w:color w:val="auto"/>
          <w:kern w:val="0"/>
          <w:szCs w:val="21"/>
          <w:highlight w:val="none"/>
        </w:rPr>
      </w:pPr>
    </w:p>
    <w:p w14:paraId="60B92D58">
      <w:pPr>
        <w:widowControl/>
        <w:wordWrap w:val="0"/>
        <w:spacing w:line="460" w:lineRule="exact"/>
        <w:ind w:firstLine="735" w:firstLineChars="350"/>
        <w:jc w:val="left"/>
        <w:rPr>
          <w:rFonts w:hint="eastAsia" w:ascii="宋体" w:hAnsi="宋体" w:eastAsia="宋体" w:cs="宋体"/>
          <w:color w:val="auto"/>
          <w:kern w:val="0"/>
          <w:szCs w:val="21"/>
          <w:highlight w:val="none"/>
          <w:u w:val="single"/>
        </w:rPr>
      </w:pPr>
      <w:r>
        <w:rPr>
          <w:rFonts w:hint="eastAsia" w:ascii="宋体" w:hAnsi="宋体" w:eastAsia="宋体" w:cs="宋体"/>
          <w:color w:val="auto"/>
          <w:szCs w:val="21"/>
          <w:highlight w:val="none"/>
        </w:rPr>
        <w:t>法定代表人或委托代理人（签字</w:t>
      </w:r>
      <w:r>
        <w:rPr>
          <w:rFonts w:hint="eastAsia" w:ascii="宋体" w:hAnsi="宋体" w:eastAsia="宋体" w:cs="宋体"/>
          <w:color w:val="auto"/>
          <w:kern w:val="0"/>
          <w:szCs w:val="21"/>
          <w:highlight w:val="none"/>
          <w:lang w:val="en-US" w:eastAsia="zh-CN"/>
        </w:rPr>
        <w:t>或盖章</w:t>
      </w:r>
      <w:r>
        <w:rPr>
          <w:rFonts w:hint="eastAsia" w:ascii="宋体" w:hAnsi="宋体" w:eastAsia="宋体" w:cs="宋体"/>
          <w:color w:val="auto"/>
          <w:szCs w:val="21"/>
          <w:highlight w:val="none"/>
        </w:rPr>
        <w:t>）</w:t>
      </w:r>
      <w:r>
        <w:rPr>
          <w:rFonts w:hint="eastAsia" w:ascii="宋体" w:hAnsi="宋体" w:eastAsia="宋体" w:cs="宋体"/>
          <w:color w:val="auto"/>
          <w:kern w:val="0"/>
          <w:szCs w:val="21"/>
          <w:highlight w:val="none"/>
        </w:rPr>
        <w:t xml:space="preserve">： </w:t>
      </w:r>
    </w:p>
    <w:p w14:paraId="7EA0920E">
      <w:pPr>
        <w:widowControl/>
        <w:wordWrap w:val="0"/>
        <w:spacing w:line="460" w:lineRule="exact"/>
        <w:ind w:firstLine="420" w:firstLineChars="200"/>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全称并</w:t>
      </w:r>
      <w:r>
        <w:rPr>
          <w:rFonts w:hint="eastAsia" w:ascii="宋体" w:hAnsi="宋体" w:eastAsia="宋体" w:cs="宋体"/>
          <w:color w:val="auto"/>
          <w:kern w:val="0"/>
          <w:szCs w:val="21"/>
          <w:highlight w:val="none"/>
          <w:lang w:val="en-US" w:eastAsia="zh-CN"/>
        </w:rPr>
        <w:t>加</w:t>
      </w:r>
      <w:r>
        <w:rPr>
          <w:rFonts w:hint="eastAsia" w:ascii="宋体" w:hAnsi="宋体" w:eastAsia="宋体" w:cs="宋体"/>
          <w:color w:val="auto"/>
          <w:kern w:val="0"/>
          <w:szCs w:val="21"/>
          <w:highlight w:val="none"/>
          <w:lang w:eastAsia="zh-CN"/>
        </w:rPr>
        <w:t>盖</w:t>
      </w:r>
      <w:r>
        <w:rPr>
          <w:rFonts w:hint="eastAsia" w:ascii="宋体" w:hAnsi="宋体" w:eastAsia="宋体" w:cs="宋体"/>
          <w:color w:val="auto"/>
          <w:kern w:val="0"/>
          <w:szCs w:val="21"/>
          <w:highlight w:val="none"/>
          <w:lang w:val="en-US" w:eastAsia="zh-CN"/>
        </w:rPr>
        <w:t>公</w:t>
      </w:r>
      <w:r>
        <w:rPr>
          <w:rFonts w:hint="eastAsia" w:ascii="宋体" w:hAnsi="宋体" w:eastAsia="宋体" w:cs="宋体"/>
          <w:color w:val="auto"/>
          <w:kern w:val="0"/>
          <w:szCs w:val="21"/>
          <w:highlight w:val="none"/>
          <w:lang w:eastAsia="zh-CN"/>
        </w:rPr>
        <w:t>章</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p>
    <w:p w14:paraId="6A3FA220">
      <w:pPr>
        <w:widowControl/>
        <w:snapToGrid w:val="0"/>
        <w:spacing w:line="460" w:lineRule="exact"/>
        <w:ind w:firstLine="1260" w:firstLineChars="600"/>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年    月   日 </w:t>
      </w:r>
    </w:p>
    <w:p w14:paraId="6540FD87">
      <w:pPr>
        <w:widowControl/>
        <w:wordWrap w:val="0"/>
        <w:snapToGrid w:val="0"/>
        <w:spacing w:before="50" w:after="50" w:line="480" w:lineRule="auto"/>
        <w:jc w:val="left"/>
        <w:rPr>
          <w:rFonts w:hint="eastAsia" w:ascii="宋体" w:hAnsi="宋体" w:eastAsia="宋体" w:cs="宋体"/>
          <w:b/>
          <w:color w:val="auto"/>
          <w:kern w:val="0"/>
          <w:sz w:val="24"/>
          <w:highlight w:val="none"/>
        </w:rPr>
      </w:pPr>
    </w:p>
    <w:p w14:paraId="3EEA7A31">
      <w:pPr>
        <w:widowControl/>
        <w:wordWrap w:val="0"/>
        <w:snapToGrid w:val="0"/>
        <w:spacing w:before="50" w:after="50" w:line="480" w:lineRule="auto"/>
        <w:jc w:val="left"/>
        <w:rPr>
          <w:rFonts w:hint="eastAsia" w:ascii="宋体" w:hAnsi="宋体" w:eastAsia="宋体" w:cs="宋体"/>
          <w:b/>
          <w:color w:val="auto"/>
          <w:kern w:val="0"/>
          <w:sz w:val="24"/>
          <w:highlight w:val="none"/>
        </w:rPr>
      </w:pPr>
    </w:p>
    <w:p w14:paraId="7D79496B">
      <w:pPr>
        <w:spacing w:line="500" w:lineRule="exact"/>
        <w:jc w:val="center"/>
        <w:rPr>
          <w:rFonts w:hint="eastAsia" w:ascii="宋体" w:hAnsi="宋体" w:eastAsia="宋体" w:cs="宋体"/>
          <w:b/>
          <w:bCs/>
          <w:color w:val="auto"/>
          <w:sz w:val="24"/>
          <w:highlight w:val="none"/>
        </w:rPr>
      </w:pPr>
    </w:p>
    <w:p w14:paraId="77439107">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0A09D513">
      <w:pPr>
        <w:rPr>
          <w:rFonts w:hint="eastAsia" w:ascii="宋体" w:hAnsi="宋体" w:eastAsia="宋体" w:cs="宋体"/>
          <w:color w:val="auto"/>
          <w:highlight w:val="none"/>
        </w:rPr>
      </w:pPr>
    </w:p>
    <w:p w14:paraId="12E02C04">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71" w:name="_Toc7838"/>
      <w:r>
        <w:rPr>
          <w:rFonts w:hint="eastAsia" w:ascii="宋体" w:hAnsi="宋体" w:eastAsia="宋体" w:cs="宋体"/>
          <w:color w:val="auto"/>
          <w:sz w:val="28"/>
          <w:szCs w:val="28"/>
          <w:highlight w:val="none"/>
          <w:lang w:val="en-US" w:eastAsia="zh-CN"/>
        </w:rPr>
        <w:t>附件3            开标一览表</w:t>
      </w:r>
      <w:bookmarkEnd w:id="71"/>
      <w:r>
        <w:rPr>
          <w:rFonts w:hint="eastAsia" w:ascii="宋体" w:hAnsi="宋体" w:eastAsia="宋体" w:cs="宋体"/>
          <w:color w:val="auto"/>
          <w:sz w:val="28"/>
          <w:szCs w:val="28"/>
          <w:highlight w:val="none"/>
          <w:lang w:val="en-US" w:eastAsia="zh-CN"/>
        </w:rPr>
        <w:t>（格式）</w:t>
      </w:r>
    </w:p>
    <w:p w14:paraId="163DE47D">
      <w:pPr>
        <w:spacing w:line="239" w:lineRule="auto"/>
        <w:jc w:val="right"/>
        <w:rPr>
          <w:rFonts w:hint="eastAsia" w:ascii="宋体" w:hAnsi="宋体" w:eastAsia="宋体" w:cs="宋体"/>
          <w:color w:val="auto"/>
          <w:sz w:val="24"/>
          <w:highlight w:val="none"/>
          <w:lang w:val="en-US"/>
        </w:rPr>
      </w:pPr>
      <w:r>
        <w:rPr>
          <w:rFonts w:hint="eastAsia" w:ascii="宋体" w:hAnsi="宋体" w:eastAsia="宋体" w:cs="宋体"/>
          <w:color w:val="auto"/>
          <w:sz w:val="24"/>
          <w:highlight w:val="none"/>
        </w:rPr>
        <w:t>单位：</w:t>
      </w:r>
      <w:r>
        <w:rPr>
          <w:rFonts w:hint="eastAsia" w:ascii="宋体" w:hAnsi="宋体" w:eastAsia="宋体" w:cs="宋体"/>
          <w:color w:val="auto"/>
          <w:sz w:val="24"/>
          <w:highlight w:val="none"/>
          <w:lang w:val="en-US" w:eastAsia="zh-CN"/>
        </w:rPr>
        <w:t>综合折扣率/%</w:t>
      </w:r>
    </w:p>
    <w:p w14:paraId="7731EC5A">
      <w:pPr>
        <w:rPr>
          <w:rFonts w:hint="eastAsia" w:ascii="宋体" w:hAnsi="宋体" w:eastAsia="宋体" w:cs="宋体"/>
          <w:color w:val="auto"/>
          <w:highlight w:val="none"/>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2740"/>
        <w:gridCol w:w="4968"/>
      </w:tblGrid>
      <w:tr w14:paraId="16E58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D35BE1C">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项目名称</w:t>
            </w:r>
          </w:p>
        </w:tc>
        <w:tc>
          <w:tcPr>
            <w:tcW w:w="7708" w:type="dxa"/>
            <w:gridSpan w:val="2"/>
            <w:noWrap/>
            <w:vAlign w:val="center"/>
          </w:tcPr>
          <w:p w14:paraId="29544E6D">
            <w:pPr>
              <w:rPr>
                <w:rFonts w:hint="eastAsia" w:ascii="宋体" w:hAnsi="宋体" w:eastAsia="宋体" w:cs="宋体"/>
                <w:bCs/>
                <w:color w:val="auto"/>
                <w:szCs w:val="21"/>
                <w:highlight w:val="none"/>
              </w:rPr>
            </w:pPr>
          </w:p>
        </w:tc>
      </w:tr>
      <w:tr w14:paraId="58A91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61935F99">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名称</w:t>
            </w:r>
          </w:p>
        </w:tc>
        <w:tc>
          <w:tcPr>
            <w:tcW w:w="7708" w:type="dxa"/>
            <w:gridSpan w:val="2"/>
            <w:noWrap/>
            <w:vAlign w:val="center"/>
          </w:tcPr>
          <w:p w14:paraId="07B627DC">
            <w:pPr>
              <w:rPr>
                <w:rFonts w:hint="eastAsia" w:ascii="宋体" w:hAnsi="宋体" w:eastAsia="宋体" w:cs="宋体"/>
                <w:color w:val="auto"/>
                <w:szCs w:val="21"/>
                <w:highlight w:val="none"/>
              </w:rPr>
            </w:pPr>
          </w:p>
        </w:tc>
      </w:tr>
      <w:tr w14:paraId="22FC5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Merge w:val="restart"/>
            <w:noWrap/>
            <w:vAlign w:val="center"/>
          </w:tcPr>
          <w:p w14:paraId="4F8ACFE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报价</w:t>
            </w:r>
          </w:p>
          <w:p w14:paraId="4EE0E375">
            <w:pPr>
              <w:widowControl/>
              <w:snapToGrid w:val="0"/>
              <w:spacing w:before="50" w:after="5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（综合折扣率）</w:t>
            </w:r>
          </w:p>
        </w:tc>
        <w:tc>
          <w:tcPr>
            <w:tcW w:w="2740" w:type="dxa"/>
            <w:noWrap/>
            <w:vAlign w:val="center"/>
          </w:tcPr>
          <w:p w14:paraId="0FB2AEE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监护除颤类配件磋商</w:t>
            </w:r>
            <w:r>
              <w:rPr>
                <w:rFonts w:hint="eastAsia" w:ascii="宋体" w:hAnsi="宋体" w:eastAsia="宋体" w:cs="宋体"/>
                <w:color w:val="auto"/>
                <w:szCs w:val="21"/>
                <w:highlight w:val="none"/>
              </w:rPr>
              <w:t>报价</w:t>
            </w:r>
          </w:p>
          <w:p w14:paraId="656064D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（综合折扣率）</w:t>
            </w:r>
          </w:p>
        </w:tc>
        <w:tc>
          <w:tcPr>
            <w:tcW w:w="4968" w:type="dxa"/>
            <w:noWrap/>
            <w:vAlign w:val="center"/>
          </w:tcPr>
          <w:p w14:paraId="5F37EA30">
            <w:pP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大写：</w:t>
            </w:r>
            <w:r>
              <w:rPr>
                <w:rFonts w:hint="eastAsia"/>
                <w:lang w:val="en-US" w:eastAsia="zh-CN"/>
              </w:rPr>
              <w:t>百分之</w:t>
            </w:r>
            <w:r>
              <w:rPr>
                <w:rFonts w:hint="eastAsia"/>
                <w:u w:val="single"/>
                <w:lang w:val="en-US" w:eastAsia="zh-CN"/>
              </w:rPr>
              <w:t xml:space="preserve">          </w:t>
            </w:r>
            <w:r>
              <w:rPr>
                <w:rFonts w:hint="eastAsia" w:ascii="宋体" w:hAnsi="宋体" w:eastAsia="宋体" w:cs="宋体"/>
                <w:color w:val="000000" w:themeColor="text1"/>
                <w:szCs w:val="21"/>
                <w:highlight w:val="none"/>
                <w:lang w:val="en-US" w:eastAsia="zh-CN"/>
                <w14:textFill>
                  <w14:solidFill>
                    <w14:schemeClr w14:val="tx1"/>
                  </w14:solidFill>
                </w14:textFill>
              </w:rPr>
              <w:t xml:space="preserve">        </w:t>
            </w:r>
          </w:p>
          <w:p w14:paraId="68B8664C">
            <w:pPr>
              <w:rPr>
                <w:rFonts w:hint="eastAsia" w:ascii="宋体" w:hAnsi="宋体" w:eastAsia="宋体" w:cs="宋体"/>
                <w:color w:val="auto"/>
                <w:szCs w:val="21"/>
                <w:highlight w:val="none"/>
              </w:rPr>
            </w:pPr>
            <w:r>
              <w:rPr>
                <w:rFonts w:hint="eastAsia" w:ascii="宋体" w:hAnsi="宋体" w:eastAsia="宋体" w:cs="宋体"/>
                <w:color w:val="000000" w:themeColor="text1"/>
                <w:szCs w:val="21"/>
                <w:highlight w:val="none"/>
                <w:lang w:val="en-US" w:eastAsia="zh-CN"/>
                <w14:textFill>
                  <w14:solidFill>
                    <w14:schemeClr w14:val="tx1"/>
                  </w14:solidFill>
                </w14:textFill>
              </w:rPr>
              <w:t>小写：</w:t>
            </w:r>
            <w:r>
              <w:rPr>
                <w:rFonts w:hint="eastAsia"/>
                <w:u w:val="single"/>
                <w:lang w:val="en-US" w:eastAsia="zh-CN"/>
              </w:rPr>
              <w:t xml:space="preserve">       </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（详见报价明细表）</w:t>
            </w:r>
          </w:p>
        </w:tc>
      </w:tr>
      <w:tr w14:paraId="0E646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Merge w:val="continue"/>
            <w:noWrap/>
            <w:vAlign w:val="center"/>
          </w:tcPr>
          <w:p w14:paraId="55C3CAFF">
            <w:pPr>
              <w:widowControl/>
              <w:snapToGrid w:val="0"/>
              <w:spacing w:before="50" w:after="50"/>
              <w:jc w:val="center"/>
              <w:rPr>
                <w:rFonts w:hint="eastAsia" w:ascii="宋体" w:hAnsi="宋体" w:eastAsia="宋体" w:cs="宋体"/>
                <w:color w:val="auto"/>
                <w:szCs w:val="21"/>
                <w:highlight w:val="none"/>
                <w:lang w:val="en-US" w:eastAsia="zh-CN"/>
              </w:rPr>
            </w:pPr>
          </w:p>
        </w:tc>
        <w:tc>
          <w:tcPr>
            <w:tcW w:w="2740" w:type="dxa"/>
            <w:noWrap/>
            <w:vAlign w:val="center"/>
          </w:tcPr>
          <w:p w14:paraId="2BF8057C">
            <w:pPr>
              <w:jc w:val="center"/>
              <w:rPr>
                <w:rFonts w:hint="eastAsia" w:ascii="宋体" w:hAnsi="宋体" w:eastAsia="宋体" w:cs="宋体"/>
                <w:color w:val="auto"/>
                <w:szCs w:val="21"/>
                <w:highlight w:val="none"/>
              </w:rPr>
            </w:pPr>
            <w:r>
              <w:rPr>
                <w:rFonts w:hint="eastAsia" w:ascii="宋体" w:hAnsi="宋体" w:eastAsia="宋体" w:cs="宋体"/>
                <w:b w:val="0"/>
                <w:bCs w:val="0"/>
                <w:color w:val="auto"/>
                <w:sz w:val="21"/>
                <w:szCs w:val="21"/>
                <w:highlight w:val="none"/>
              </w:rPr>
              <w:t>血压计类</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理疗类</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医用灯泡类配件</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报价</w:t>
            </w:r>
          </w:p>
          <w:p w14:paraId="3F7E1AC3">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（综合折扣率）</w:t>
            </w:r>
          </w:p>
        </w:tc>
        <w:tc>
          <w:tcPr>
            <w:tcW w:w="4968" w:type="dxa"/>
            <w:noWrap/>
            <w:vAlign w:val="center"/>
          </w:tcPr>
          <w:p w14:paraId="7F1BE660">
            <w:pP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大写：</w:t>
            </w:r>
            <w:r>
              <w:rPr>
                <w:rFonts w:hint="eastAsia"/>
                <w:lang w:val="en-US" w:eastAsia="zh-CN"/>
              </w:rPr>
              <w:t>百分之</w:t>
            </w:r>
            <w:r>
              <w:rPr>
                <w:rFonts w:hint="eastAsia"/>
                <w:u w:val="single"/>
                <w:lang w:val="en-US" w:eastAsia="zh-CN"/>
              </w:rPr>
              <w:t xml:space="preserve">          </w:t>
            </w:r>
            <w:r>
              <w:rPr>
                <w:rFonts w:hint="eastAsia" w:ascii="宋体" w:hAnsi="宋体" w:eastAsia="宋体" w:cs="宋体"/>
                <w:color w:val="000000" w:themeColor="text1"/>
                <w:szCs w:val="21"/>
                <w:highlight w:val="none"/>
                <w:lang w:val="en-US" w:eastAsia="zh-CN"/>
                <w14:textFill>
                  <w14:solidFill>
                    <w14:schemeClr w14:val="tx1"/>
                  </w14:solidFill>
                </w14:textFill>
              </w:rPr>
              <w:t xml:space="preserve">        </w:t>
            </w:r>
          </w:p>
          <w:p w14:paraId="661848F2">
            <w:pPr>
              <w:rPr>
                <w:rFonts w:hint="eastAsia" w:ascii="宋体" w:hAnsi="宋体" w:eastAsia="宋体" w:cs="宋体"/>
                <w:color w:val="auto"/>
                <w:szCs w:val="21"/>
                <w:highlight w:val="none"/>
              </w:rPr>
            </w:pPr>
            <w:r>
              <w:rPr>
                <w:rFonts w:hint="eastAsia" w:ascii="宋体" w:hAnsi="宋体" w:eastAsia="宋体" w:cs="宋体"/>
                <w:color w:val="000000" w:themeColor="text1"/>
                <w:szCs w:val="21"/>
                <w:highlight w:val="none"/>
                <w:lang w:val="en-US" w:eastAsia="zh-CN"/>
                <w14:textFill>
                  <w14:solidFill>
                    <w14:schemeClr w14:val="tx1"/>
                  </w14:solidFill>
                </w14:textFill>
              </w:rPr>
              <w:t>小写：</w:t>
            </w:r>
            <w:r>
              <w:rPr>
                <w:rFonts w:hint="eastAsia"/>
                <w:u w:val="single"/>
                <w:lang w:val="en-US" w:eastAsia="zh-CN"/>
              </w:rPr>
              <w:t xml:space="preserve">       </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（详见报价明细表）</w:t>
            </w:r>
          </w:p>
        </w:tc>
      </w:tr>
      <w:tr w14:paraId="4A94A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26D305D">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交货</w:t>
            </w:r>
            <w:r>
              <w:rPr>
                <w:rFonts w:hint="eastAsia" w:ascii="宋体" w:hAnsi="宋体" w:eastAsia="宋体" w:cs="宋体"/>
                <w:color w:val="auto"/>
                <w:szCs w:val="21"/>
                <w:highlight w:val="none"/>
              </w:rPr>
              <w:t>地点</w:t>
            </w:r>
          </w:p>
        </w:tc>
        <w:tc>
          <w:tcPr>
            <w:tcW w:w="7708" w:type="dxa"/>
            <w:gridSpan w:val="2"/>
            <w:noWrap/>
            <w:vAlign w:val="bottom"/>
          </w:tcPr>
          <w:p w14:paraId="47FD65BE">
            <w:pPr>
              <w:spacing w:line="360" w:lineRule="auto"/>
              <w:ind w:firstLine="1155" w:firstLineChars="550"/>
              <w:rPr>
                <w:rFonts w:hint="eastAsia" w:ascii="宋体" w:hAnsi="宋体" w:eastAsia="宋体" w:cs="宋体"/>
                <w:color w:val="auto"/>
                <w:szCs w:val="21"/>
                <w:highlight w:val="none"/>
              </w:rPr>
            </w:pPr>
          </w:p>
        </w:tc>
      </w:tr>
      <w:tr w14:paraId="4EA91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3EB6551">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供货期限</w:t>
            </w:r>
          </w:p>
        </w:tc>
        <w:tc>
          <w:tcPr>
            <w:tcW w:w="7708" w:type="dxa"/>
            <w:gridSpan w:val="2"/>
            <w:noWrap/>
            <w:vAlign w:val="bottom"/>
          </w:tcPr>
          <w:p w14:paraId="073B5590">
            <w:pPr>
              <w:spacing w:line="360" w:lineRule="auto"/>
              <w:ind w:firstLine="1155" w:firstLineChars="550"/>
              <w:rPr>
                <w:rFonts w:hint="eastAsia" w:ascii="宋体" w:hAnsi="宋体" w:eastAsia="宋体" w:cs="宋体"/>
                <w:color w:val="auto"/>
                <w:szCs w:val="21"/>
                <w:highlight w:val="none"/>
                <w:u w:val="single"/>
              </w:rPr>
            </w:pPr>
          </w:p>
        </w:tc>
      </w:tr>
      <w:tr w14:paraId="1D87B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F4DE8E1">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质量标准</w:t>
            </w:r>
          </w:p>
        </w:tc>
        <w:tc>
          <w:tcPr>
            <w:tcW w:w="7708" w:type="dxa"/>
            <w:gridSpan w:val="2"/>
            <w:noWrap/>
            <w:vAlign w:val="bottom"/>
          </w:tcPr>
          <w:p w14:paraId="4A1BCE5B">
            <w:pPr>
              <w:spacing w:line="360" w:lineRule="auto"/>
              <w:ind w:firstLine="1155" w:firstLineChars="550"/>
              <w:rPr>
                <w:rFonts w:hint="eastAsia" w:ascii="宋体" w:hAnsi="宋体" w:eastAsia="宋体" w:cs="宋体"/>
                <w:color w:val="auto"/>
                <w:szCs w:val="21"/>
                <w:highlight w:val="none"/>
                <w:u w:val="single"/>
              </w:rPr>
            </w:pPr>
          </w:p>
        </w:tc>
      </w:tr>
      <w:tr w14:paraId="002FF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C47B432">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w:t>
            </w:r>
          </w:p>
        </w:tc>
        <w:tc>
          <w:tcPr>
            <w:tcW w:w="7708" w:type="dxa"/>
            <w:gridSpan w:val="2"/>
            <w:noWrap/>
            <w:vAlign w:val="center"/>
          </w:tcPr>
          <w:p w14:paraId="1BE2A112">
            <w:pPr>
              <w:pStyle w:val="20"/>
              <w:ind w:left="0" w:leftChars="0"/>
              <w:rPr>
                <w:rFonts w:hint="eastAsia" w:ascii="宋体" w:hAnsi="宋体" w:eastAsia="宋体" w:cs="宋体"/>
                <w:color w:val="auto"/>
                <w:szCs w:val="21"/>
                <w:highlight w:val="none"/>
                <w:u w:val="single"/>
              </w:rPr>
            </w:pPr>
            <w:r>
              <w:rPr>
                <w:rFonts w:hint="eastAsia" w:ascii="宋体" w:hAnsi="宋体" w:eastAsia="宋体" w:cs="宋体"/>
                <w:color w:val="auto"/>
                <w:kern w:val="0"/>
                <w:sz w:val="21"/>
                <w:szCs w:val="21"/>
                <w:highlight w:val="none"/>
                <w:lang w:val="en-US" w:eastAsia="zh-CN" w:bidi="ar-SA"/>
              </w:rPr>
              <w:t>响应文件递交截止期结束后90日。</w:t>
            </w:r>
          </w:p>
        </w:tc>
      </w:tr>
      <w:tr w14:paraId="05430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D64A98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  注</w:t>
            </w:r>
          </w:p>
        </w:tc>
        <w:tc>
          <w:tcPr>
            <w:tcW w:w="7708" w:type="dxa"/>
            <w:gridSpan w:val="2"/>
            <w:noWrap/>
            <w:vAlign w:val="center"/>
          </w:tcPr>
          <w:p w14:paraId="0FDD4FAD">
            <w:pPr>
              <w:pStyle w:val="20"/>
              <w:ind w:left="0" w:leftChars="0"/>
              <w:rPr>
                <w:rFonts w:hint="eastAsia" w:ascii="宋体" w:hAnsi="宋体" w:eastAsia="宋体" w:cs="宋体"/>
                <w:color w:val="auto"/>
                <w:sz w:val="21"/>
                <w:szCs w:val="21"/>
                <w:highlight w:val="none"/>
              </w:rPr>
            </w:pPr>
          </w:p>
        </w:tc>
      </w:tr>
    </w:tbl>
    <w:p w14:paraId="54676367">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注: 1、报价一经涂改，应在涂改处加盖单位公章或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代表签字或盖章，否则其投标作无效标处理。</w:t>
      </w:r>
    </w:p>
    <w:p w14:paraId="6356503C">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2、以上报价应与“报价明细表”中的报价相一致。</w:t>
      </w:r>
    </w:p>
    <w:p w14:paraId="21F61DCA">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3、凡认为所投产品符合价格折扣条件的，在相应的产品的“备注”栏内注明符合何种折扣条件。</w:t>
      </w:r>
    </w:p>
    <w:p w14:paraId="0C4C1165">
      <w:pPr>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按格式填列，不得自行更改。否则引起的不利后果由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承担。</w:t>
      </w:r>
    </w:p>
    <w:p w14:paraId="3A5C10C0">
      <w:pPr>
        <w:spacing w:line="360" w:lineRule="auto"/>
        <w:ind w:firstLine="420" w:firstLineChars="200"/>
        <w:jc w:val="center"/>
        <w:rPr>
          <w:rFonts w:hint="eastAsia" w:ascii="宋体" w:hAnsi="宋体" w:eastAsia="宋体" w:cs="宋体"/>
          <w:color w:val="auto"/>
          <w:szCs w:val="21"/>
          <w:highlight w:val="none"/>
        </w:rPr>
      </w:pPr>
      <w:bookmarkStart w:id="72" w:name="_Toc11620"/>
      <w:bookmarkStart w:id="73" w:name="_Toc20877"/>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（全称并加盖公章）：</w:t>
      </w:r>
      <w:bookmarkEnd w:id="72"/>
      <w:bookmarkEnd w:id="73"/>
    </w:p>
    <w:p w14:paraId="1523170F">
      <w:pPr>
        <w:spacing w:line="360" w:lineRule="auto"/>
        <w:ind w:firstLine="420" w:firstLineChars="200"/>
        <w:jc w:val="center"/>
        <w:rPr>
          <w:rFonts w:hint="eastAsia" w:ascii="宋体" w:hAnsi="宋体" w:eastAsia="宋体" w:cs="宋体"/>
          <w:color w:val="auto"/>
          <w:szCs w:val="21"/>
          <w:highlight w:val="none"/>
          <w:u w:val="single"/>
        </w:rPr>
      </w:pPr>
      <w:bookmarkStart w:id="74" w:name="_Toc12222"/>
      <w:bookmarkStart w:id="75" w:name="_Toc625"/>
      <w:r>
        <w:rPr>
          <w:rFonts w:hint="eastAsia" w:ascii="宋体" w:hAnsi="宋体" w:eastAsia="宋体" w:cs="宋体"/>
          <w:color w:val="auto"/>
          <w:szCs w:val="21"/>
          <w:highlight w:val="none"/>
        </w:rPr>
        <w:t>法定代表人或委托代理人（签字</w:t>
      </w:r>
      <w:r>
        <w:rPr>
          <w:rFonts w:hint="eastAsia" w:ascii="宋体" w:hAnsi="宋体" w:eastAsia="宋体" w:cs="宋体"/>
          <w:color w:val="auto"/>
          <w:kern w:val="0"/>
          <w:szCs w:val="21"/>
          <w:highlight w:val="none"/>
          <w:lang w:val="en-US" w:eastAsia="zh-CN"/>
        </w:rPr>
        <w:t>或盖章</w:t>
      </w:r>
      <w:r>
        <w:rPr>
          <w:rFonts w:hint="eastAsia" w:ascii="宋体" w:hAnsi="宋体" w:eastAsia="宋体" w:cs="宋体"/>
          <w:color w:val="auto"/>
          <w:szCs w:val="21"/>
          <w:highlight w:val="none"/>
        </w:rPr>
        <w:t>）：</w:t>
      </w:r>
      <w:bookmarkEnd w:id="74"/>
      <w:bookmarkEnd w:id="75"/>
    </w:p>
    <w:p w14:paraId="2959E3BC">
      <w:pPr>
        <w:jc w:val="center"/>
        <w:rPr>
          <w:rFonts w:hint="eastAsia" w:ascii="宋体" w:hAnsi="宋体" w:eastAsia="宋体" w:cs="宋体"/>
          <w:color w:val="auto"/>
          <w:szCs w:val="21"/>
          <w:highlight w:val="none"/>
        </w:rPr>
      </w:pPr>
    </w:p>
    <w:p w14:paraId="64AF2685">
      <w:pPr>
        <w:spacing w:line="360" w:lineRule="auto"/>
        <w:ind w:firstLine="420" w:firstLineChars="200"/>
        <w:jc w:val="center"/>
        <w:rPr>
          <w:rFonts w:hint="eastAsia" w:ascii="宋体" w:hAnsi="宋体" w:eastAsia="宋体" w:cs="宋体"/>
          <w:color w:val="auto"/>
          <w:highlight w:val="none"/>
        </w:rPr>
      </w:pPr>
      <w:bookmarkStart w:id="76" w:name="_Toc9950"/>
      <w:bookmarkStart w:id="77" w:name="_Toc1330"/>
      <w:r>
        <w:rPr>
          <w:rFonts w:hint="eastAsia" w:ascii="宋体" w:hAnsi="宋体" w:eastAsia="宋体" w:cs="宋体"/>
          <w:color w:val="auto"/>
          <w:szCs w:val="21"/>
          <w:highlight w:val="none"/>
        </w:rPr>
        <w:t>年  月  日</w:t>
      </w:r>
      <w:bookmarkEnd w:id="76"/>
      <w:bookmarkEnd w:id="77"/>
    </w:p>
    <w:p w14:paraId="75AF52ED">
      <w:pPr>
        <w:rPr>
          <w:rFonts w:hint="eastAsia" w:ascii="宋体" w:hAnsi="宋体" w:eastAsia="宋体" w:cs="宋体"/>
          <w:color w:val="auto"/>
          <w:highlight w:val="none"/>
        </w:rPr>
      </w:pPr>
    </w:p>
    <w:bookmarkEnd w:id="52"/>
    <w:bookmarkEnd w:id="53"/>
    <w:p w14:paraId="32162F70">
      <w:pPr>
        <w:spacing w:before="20" w:after="20"/>
        <w:outlineLvl w:val="9"/>
        <w:rPr>
          <w:rFonts w:hint="eastAsia" w:ascii="宋体" w:hAnsi="宋体" w:eastAsia="宋体" w:cs="宋体"/>
          <w:color w:val="auto"/>
          <w:highlight w:val="none"/>
          <w:lang w:eastAsia="zh-CN"/>
        </w:rPr>
      </w:pPr>
      <w:bookmarkStart w:id="78" w:name="_Toc22004"/>
      <w:bookmarkStart w:id="79" w:name="_Toc24984"/>
    </w:p>
    <w:p w14:paraId="35B35CE5">
      <w:pPr>
        <w:outlineLvl w:val="9"/>
        <w:rPr>
          <w:rFonts w:hint="eastAsia" w:ascii="宋体" w:hAnsi="宋体" w:eastAsia="宋体" w:cs="宋体"/>
          <w:color w:val="auto"/>
          <w:highlight w:val="none"/>
          <w:lang w:eastAsia="zh-CN"/>
        </w:rPr>
      </w:pPr>
    </w:p>
    <w:p w14:paraId="55668C71">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3A621A8C">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附件4            </w:t>
      </w:r>
      <w:bookmarkEnd w:id="78"/>
      <w:bookmarkEnd w:id="79"/>
      <w:r>
        <w:rPr>
          <w:rFonts w:hint="eastAsia" w:ascii="宋体" w:hAnsi="宋体" w:eastAsia="宋体" w:cs="宋体"/>
          <w:color w:val="auto"/>
          <w:sz w:val="28"/>
          <w:szCs w:val="28"/>
          <w:highlight w:val="none"/>
          <w:lang w:val="en-US" w:eastAsia="zh-CN"/>
        </w:rPr>
        <w:t>报价明细表（格式）</w:t>
      </w:r>
    </w:p>
    <w:p w14:paraId="79C39A44">
      <w:pPr>
        <w:jc w:val="right"/>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金额单位：</w:t>
      </w:r>
      <w:r>
        <w:rPr>
          <w:rFonts w:hint="eastAsia" w:ascii="宋体" w:hAnsi="宋体" w:eastAsia="宋体" w:cs="宋体"/>
          <w:color w:val="auto"/>
          <w:sz w:val="24"/>
          <w:highlight w:val="none"/>
          <w:lang w:val="en-US" w:eastAsia="zh-CN"/>
        </w:rPr>
        <w:t>综合折扣率</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val="en-US" w:eastAsia="zh-CN"/>
          <w14:textFill>
            <w14:solidFill>
              <w14:schemeClr w14:val="tx1"/>
            </w14:solidFill>
          </w14:textFill>
        </w:rPr>
        <w:t>%</w:t>
      </w:r>
      <w:r>
        <w:rPr>
          <w:rFonts w:hint="eastAsia" w:ascii="宋体" w:hAnsi="宋体" w:cs="宋体"/>
          <w:color w:val="000000" w:themeColor="text1"/>
          <w:kern w:val="0"/>
          <w:sz w:val="24"/>
          <w:highlight w:val="none"/>
          <w14:textFill>
            <w14:solidFill>
              <w14:schemeClr w14:val="tx1"/>
            </w14:solidFill>
          </w14:textFill>
        </w:rPr>
        <w:t>）</w:t>
      </w:r>
    </w:p>
    <w:tbl>
      <w:tblPr>
        <w:tblStyle w:val="33"/>
        <w:tblW w:w="987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506"/>
        <w:gridCol w:w="1888"/>
        <w:gridCol w:w="2812"/>
        <w:gridCol w:w="350"/>
        <w:gridCol w:w="575"/>
        <w:gridCol w:w="1263"/>
        <w:gridCol w:w="575"/>
        <w:gridCol w:w="606"/>
        <w:gridCol w:w="1300"/>
      </w:tblGrid>
      <w:tr w14:paraId="4C380E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394" w:type="dxa"/>
            <w:gridSpan w:val="2"/>
            <w:vMerge w:val="restart"/>
            <w:tcBorders>
              <w:tl2br w:val="nil"/>
              <w:tr2bl w:val="nil"/>
            </w:tcBorders>
            <w:shd w:val="clear" w:color="auto" w:fill="auto"/>
            <w:noWrap/>
            <w:vAlign w:val="center"/>
          </w:tcPr>
          <w:p w14:paraId="2005C9BB">
            <w:pPr>
              <w:pageBreakBefore w:val="0"/>
              <w:widowControl/>
              <w:wordWrap/>
              <w:overflowPunct/>
              <w:topLinePunct w:val="0"/>
              <w:bidi w:val="0"/>
              <w:spacing w:line="360" w:lineRule="auto"/>
              <w:jc w:val="center"/>
              <w:textAlignment w:val="baseline"/>
              <w:rPr>
                <w:rFonts w:hint="eastAsia" w:ascii="宋体" w:hAnsi="宋体" w:eastAsia="宋体" w:cs="宋体"/>
                <w:b/>
                <w:bCs/>
                <w:color w:val="auto"/>
                <w:sz w:val="24"/>
                <w:szCs w:val="24"/>
                <w:highlight w:val="none"/>
                <w:vertAlign w:val="baseline"/>
                <w:lang w:eastAsia="zh-CN"/>
              </w:rPr>
            </w:pPr>
            <w:r>
              <w:rPr>
                <w:rFonts w:hint="eastAsia" w:ascii="宋体" w:hAnsi="宋体" w:eastAsia="宋体" w:cs="宋体"/>
                <w:b/>
                <w:bCs/>
                <w:color w:val="auto"/>
                <w:sz w:val="24"/>
                <w:szCs w:val="24"/>
                <w:highlight w:val="none"/>
                <w:vertAlign w:val="baseline"/>
                <w:lang w:val="en-US" w:eastAsia="zh-CN"/>
              </w:rPr>
              <w:t>磋商</w:t>
            </w:r>
            <w:r>
              <w:rPr>
                <w:rFonts w:hint="eastAsia" w:ascii="宋体" w:hAnsi="宋体" w:eastAsia="宋体" w:cs="宋体"/>
                <w:b/>
                <w:bCs/>
                <w:color w:val="auto"/>
                <w:sz w:val="24"/>
                <w:szCs w:val="24"/>
                <w:highlight w:val="none"/>
                <w:vertAlign w:val="baseline"/>
                <w:lang w:eastAsia="zh-CN"/>
              </w:rPr>
              <w:t>报价</w:t>
            </w:r>
          </w:p>
          <w:p w14:paraId="1F1DB479">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color w:val="auto"/>
                <w:sz w:val="24"/>
                <w:szCs w:val="24"/>
                <w:highlight w:val="none"/>
                <w:vertAlign w:val="baseline"/>
                <w:lang w:eastAsia="zh-CN"/>
              </w:rPr>
              <w:t>（综合折扣率）</w:t>
            </w:r>
          </w:p>
        </w:tc>
        <w:tc>
          <w:tcPr>
            <w:tcW w:w="3162" w:type="dxa"/>
            <w:gridSpan w:val="2"/>
            <w:tcBorders>
              <w:tl2br w:val="nil"/>
              <w:tr2bl w:val="nil"/>
            </w:tcBorders>
            <w:shd w:val="clear" w:color="auto" w:fill="auto"/>
            <w:noWrap/>
            <w:vAlign w:val="center"/>
          </w:tcPr>
          <w:p w14:paraId="211BDAB6">
            <w:pPr>
              <w:keepNext w:val="0"/>
              <w:keepLines w:val="0"/>
              <w:widowControl/>
              <w:suppressLineNumbers w:val="0"/>
              <w:jc w:val="both"/>
              <w:textAlignment w:val="center"/>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监护除颤类配件磋商报价（综合折扣率）</w:t>
            </w:r>
          </w:p>
        </w:tc>
        <w:tc>
          <w:tcPr>
            <w:tcW w:w="4319" w:type="dxa"/>
            <w:gridSpan w:val="5"/>
            <w:tcBorders>
              <w:tl2br w:val="nil"/>
              <w:tr2bl w:val="nil"/>
            </w:tcBorders>
            <w:shd w:val="clear" w:color="auto" w:fill="auto"/>
            <w:noWrap/>
            <w:vAlign w:val="center"/>
          </w:tcPr>
          <w:p w14:paraId="740C28B5">
            <w:pPr>
              <w:pageBreakBefore w:val="0"/>
              <w:widowControl/>
              <w:wordWrap/>
              <w:overflowPunct/>
              <w:topLinePunct w:val="0"/>
              <w:bidi w:val="0"/>
              <w:spacing w:line="360" w:lineRule="auto"/>
              <w:jc w:val="both"/>
              <w:textAlignment w:val="baseline"/>
              <w:rPr>
                <w:rFonts w:hint="default" w:ascii="宋体" w:hAnsi="宋体" w:eastAsia="宋体" w:cs="宋体"/>
                <w:b/>
                <w:bCs/>
                <w:color w:val="auto"/>
                <w:sz w:val="21"/>
                <w:szCs w:val="21"/>
                <w:highlight w:val="none"/>
                <w:u w:val="single"/>
                <w:vertAlign w:val="baseline"/>
                <w:lang w:val="en-US" w:eastAsia="zh-CN"/>
              </w:rPr>
            </w:pPr>
            <w:r>
              <w:rPr>
                <w:rFonts w:hint="eastAsia" w:ascii="宋体" w:hAnsi="宋体" w:eastAsia="宋体" w:cs="宋体"/>
                <w:b/>
                <w:bCs/>
                <w:color w:val="auto"/>
                <w:sz w:val="21"/>
                <w:szCs w:val="21"/>
                <w:highlight w:val="none"/>
                <w:vertAlign w:val="baseline"/>
                <w:lang w:eastAsia="zh-CN"/>
              </w:rPr>
              <w:t>大写：百分之</w:t>
            </w:r>
            <w:r>
              <w:rPr>
                <w:rFonts w:hint="eastAsia" w:ascii="宋体" w:hAnsi="宋体" w:eastAsia="宋体" w:cs="宋体"/>
                <w:b/>
                <w:bCs/>
                <w:color w:val="auto"/>
                <w:sz w:val="21"/>
                <w:szCs w:val="21"/>
                <w:highlight w:val="none"/>
                <w:u w:val="single"/>
                <w:vertAlign w:val="baseline"/>
                <w:lang w:val="en-US" w:eastAsia="zh-CN"/>
              </w:rPr>
              <w:t xml:space="preserve">      </w:t>
            </w:r>
          </w:p>
          <w:p w14:paraId="5EA4EA76">
            <w:pPr>
              <w:keepNext w:val="0"/>
              <w:keepLines w:val="0"/>
              <w:widowControl/>
              <w:suppressLineNumbers w:val="0"/>
              <w:jc w:val="both"/>
              <w:textAlignment w:val="center"/>
              <w:rPr>
                <w:rFonts w:hint="eastAsia" w:ascii="宋体" w:hAnsi="宋体" w:eastAsia="宋体" w:cs="宋体"/>
                <w:b/>
                <w:bCs/>
                <w:color w:val="auto"/>
                <w:sz w:val="21"/>
                <w:szCs w:val="21"/>
                <w:highlight w:val="none"/>
                <w:vertAlign w:val="baseline"/>
                <w:lang w:eastAsia="zh-CN"/>
              </w:rPr>
            </w:pPr>
            <w:r>
              <w:rPr>
                <w:rFonts w:hint="eastAsia" w:ascii="宋体" w:hAnsi="宋体" w:eastAsia="宋体" w:cs="宋体"/>
                <w:b/>
                <w:bCs/>
                <w:color w:val="auto"/>
                <w:sz w:val="21"/>
                <w:szCs w:val="21"/>
                <w:highlight w:val="none"/>
                <w:vertAlign w:val="baseline"/>
                <w:lang w:eastAsia="zh-CN"/>
              </w:rPr>
              <w:t>小写：</w:t>
            </w:r>
            <w:r>
              <w:rPr>
                <w:rFonts w:hint="eastAsia" w:ascii="宋体" w:hAnsi="宋体" w:eastAsia="宋体" w:cs="宋体"/>
                <w:b/>
                <w:bCs/>
                <w:color w:val="auto"/>
                <w:sz w:val="21"/>
                <w:szCs w:val="21"/>
                <w:highlight w:val="none"/>
                <w:u w:val="single"/>
                <w:vertAlign w:val="baseline"/>
                <w:lang w:val="en-US" w:eastAsia="zh-CN"/>
              </w:rPr>
              <w:t xml:space="preserve">      </w:t>
            </w:r>
            <w:r>
              <w:rPr>
                <w:rFonts w:hint="eastAsia" w:ascii="宋体" w:hAnsi="宋体" w:eastAsia="宋体" w:cs="宋体"/>
                <w:b/>
                <w:bCs/>
                <w:color w:val="auto"/>
                <w:sz w:val="21"/>
                <w:szCs w:val="21"/>
                <w:highlight w:val="none"/>
                <w:u w:val="none"/>
                <w:vertAlign w:val="baseline"/>
                <w:lang w:val="en-US" w:eastAsia="zh-CN"/>
              </w:rPr>
              <w:t>%</w:t>
            </w:r>
          </w:p>
        </w:tc>
      </w:tr>
      <w:tr w14:paraId="02FCD1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2394" w:type="dxa"/>
            <w:gridSpan w:val="2"/>
            <w:vMerge w:val="continue"/>
            <w:tcBorders>
              <w:tl2br w:val="nil"/>
              <w:tr2bl w:val="nil"/>
            </w:tcBorders>
            <w:shd w:val="clear" w:color="auto" w:fill="auto"/>
            <w:noWrap/>
            <w:vAlign w:val="center"/>
          </w:tcPr>
          <w:p w14:paraId="1AC86F2D">
            <w:pPr>
              <w:keepNext w:val="0"/>
              <w:keepLines w:val="0"/>
              <w:widowControl/>
              <w:suppressLineNumbers w:val="0"/>
              <w:jc w:val="center"/>
              <w:textAlignment w:val="center"/>
              <w:rPr>
                <w:rFonts w:hint="eastAsia" w:ascii="宋体" w:hAnsi="宋体" w:eastAsia="宋体" w:cs="宋体"/>
                <w:b/>
                <w:bCs/>
                <w:color w:val="auto"/>
                <w:sz w:val="24"/>
                <w:szCs w:val="24"/>
                <w:highlight w:val="none"/>
                <w:vertAlign w:val="baseline"/>
                <w:lang w:eastAsia="zh-CN"/>
              </w:rPr>
            </w:pPr>
          </w:p>
        </w:tc>
        <w:tc>
          <w:tcPr>
            <w:tcW w:w="3162" w:type="dxa"/>
            <w:gridSpan w:val="2"/>
            <w:tcBorders>
              <w:tl2br w:val="nil"/>
              <w:tr2bl w:val="nil"/>
            </w:tcBorders>
            <w:shd w:val="clear" w:color="auto" w:fill="auto"/>
            <w:noWrap/>
            <w:vAlign w:val="center"/>
          </w:tcPr>
          <w:p w14:paraId="1B57FF97">
            <w:pPr>
              <w:keepNext w:val="0"/>
              <w:keepLines w:val="0"/>
              <w:widowControl/>
              <w:suppressLineNumbers w:val="0"/>
              <w:jc w:val="both"/>
              <w:textAlignment w:val="center"/>
              <w:rPr>
                <w:rFonts w:hint="eastAsia" w:ascii="宋体" w:hAnsi="宋体" w:eastAsia="宋体" w:cs="宋体"/>
                <w:b/>
                <w:bCs/>
                <w:color w:val="auto"/>
                <w:sz w:val="21"/>
                <w:szCs w:val="21"/>
                <w:highlight w:val="none"/>
                <w:vertAlign w:val="baseline"/>
                <w:lang w:eastAsia="zh-CN"/>
              </w:rPr>
            </w:pPr>
            <w:r>
              <w:rPr>
                <w:rFonts w:hint="eastAsia" w:ascii="宋体" w:hAnsi="宋体" w:eastAsia="宋体" w:cs="宋体"/>
                <w:b/>
                <w:bCs/>
                <w:color w:val="auto"/>
                <w:sz w:val="21"/>
                <w:szCs w:val="21"/>
                <w:highlight w:val="none"/>
                <w:vertAlign w:val="baseline"/>
                <w:lang w:eastAsia="zh-CN"/>
              </w:rPr>
              <w:t>血压计类、理疗类、医用灯泡类配件</w:t>
            </w:r>
            <w:r>
              <w:rPr>
                <w:rFonts w:hint="eastAsia" w:ascii="宋体" w:hAnsi="宋体" w:eastAsia="宋体" w:cs="宋体"/>
                <w:b/>
                <w:bCs/>
                <w:color w:val="auto"/>
                <w:sz w:val="21"/>
                <w:szCs w:val="21"/>
                <w:highlight w:val="none"/>
                <w:vertAlign w:val="baseline"/>
                <w:lang w:val="en-US" w:eastAsia="zh-CN"/>
              </w:rPr>
              <w:t>磋商</w:t>
            </w:r>
            <w:r>
              <w:rPr>
                <w:rFonts w:hint="eastAsia" w:ascii="宋体" w:hAnsi="宋体" w:eastAsia="宋体" w:cs="宋体"/>
                <w:b/>
                <w:bCs/>
                <w:color w:val="auto"/>
                <w:sz w:val="21"/>
                <w:szCs w:val="21"/>
                <w:highlight w:val="none"/>
                <w:vertAlign w:val="baseline"/>
                <w:lang w:eastAsia="zh-CN"/>
              </w:rPr>
              <w:t>报价</w:t>
            </w:r>
            <w:r>
              <w:rPr>
                <w:rFonts w:hint="eastAsia" w:ascii="宋体" w:hAnsi="宋体" w:eastAsia="宋体" w:cs="宋体"/>
                <w:b/>
                <w:bCs/>
                <w:color w:val="auto"/>
                <w:sz w:val="21"/>
                <w:szCs w:val="21"/>
                <w:highlight w:val="none"/>
                <w:vertAlign w:val="baseline"/>
                <w:lang w:val="en-US" w:eastAsia="zh-CN"/>
              </w:rPr>
              <w:t>（综合折扣率）</w:t>
            </w:r>
          </w:p>
        </w:tc>
        <w:tc>
          <w:tcPr>
            <w:tcW w:w="4319" w:type="dxa"/>
            <w:gridSpan w:val="5"/>
            <w:tcBorders>
              <w:tl2br w:val="nil"/>
              <w:tr2bl w:val="nil"/>
            </w:tcBorders>
            <w:shd w:val="clear" w:color="auto" w:fill="auto"/>
            <w:noWrap/>
            <w:vAlign w:val="center"/>
          </w:tcPr>
          <w:p w14:paraId="4E01D9D0">
            <w:pPr>
              <w:pageBreakBefore w:val="0"/>
              <w:widowControl/>
              <w:wordWrap/>
              <w:overflowPunct/>
              <w:topLinePunct w:val="0"/>
              <w:bidi w:val="0"/>
              <w:spacing w:line="360" w:lineRule="auto"/>
              <w:jc w:val="both"/>
              <w:textAlignment w:val="baseline"/>
              <w:rPr>
                <w:rFonts w:hint="default" w:ascii="宋体" w:hAnsi="宋体" w:eastAsia="宋体" w:cs="宋体"/>
                <w:b/>
                <w:bCs/>
                <w:color w:val="auto"/>
                <w:sz w:val="21"/>
                <w:szCs w:val="21"/>
                <w:highlight w:val="none"/>
                <w:u w:val="single"/>
                <w:vertAlign w:val="baseline"/>
                <w:lang w:val="en-US" w:eastAsia="zh-CN"/>
              </w:rPr>
            </w:pPr>
            <w:r>
              <w:rPr>
                <w:rFonts w:hint="eastAsia" w:ascii="宋体" w:hAnsi="宋体" w:eastAsia="宋体" w:cs="宋体"/>
                <w:b/>
                <w:bCs/>
                <w:color w:val="auto"/>
                <w:sz w:val="21"/>
                <w:szCs w:val="21"/>
                <w:highlight w:val="none"/>
                <w:vertAlign w:val="baseline"/>
                <w:lang w:eastAsia="zh-CN"/>
              </w:rPr>
              <w:t>大写：百分之</w:t>
            </w:r>
            <w:r>
              <w:rPr>
                <w:rFonts w:hint="eastAsia" w:ascii="宋体" w:hAnsi="宋体" w:eastAsia="宋体" w:cs="宋体"/>
                <w:b/>
                <w:bCs/>
                <w:color w:val="auto"/>
                <w:sz w:val="21"/>
                <w:szCs w:val="21"/>
                <w:highlight w:val="none"/>
                <w:u w:val="single"/>
                <w:vertAlign w:val="baseline"/>
                <w:lang w:val="en-US" w:eastAsia="zh-CN"/>
              </w:rPr>
              <w:t xml:space="preserve">      </w:t>
            </w:r>
          </w:p>
          <w:p w14:paraId="5CFD1EEB">
            <w:pPr>
              <w:keepNext w:val="0"/>
              <w:keepLines w:val="0"/>
              <w:widowControl/>
              <w:suppressLineNumbers w:val="0"/>
              <w:jc w:val="both"/>
              <w:textAlignment w:val="center"/>
              <w:rPr>
                <w:rFonts w:hint="eastAsia" w:ascii="宋体" w:hAnsi="宋体" w:eastAsia="宋体" w:cs="宋体"/>
                <w:b/>
                <w:bCs/>
                <w:color w:val="auto"/>
                <w:sz w:val="21"/>
                <w:szCs w:val="21"/>
                <w:highlight w:val="none"/>
                <w:vertAlign w:val="baseline"/>
                <w:lang w:eastAsia="zh-CN"/>
              </w:rPr>
            </w:pPr>
            <w:r>
              <w:rPr>
                <w:rFonts w:hint="eastAsia" w:ascii="宋体" w:hAnsi="宋体" w:eastAsia="宋体" w:cs="宋体"/>
                <w:b/>
                <w:bCs/>
                <w:color w:val="auto"/>
                <w:sz w:val="21"/>
                <w:szCs w:val="21"/>
                <w:highlight w:val="none"/>
                <w:vertAlign w:val="baseline"/>
                <w:lang w:eastAsia="zh-CN"/>
              </w:rPr>
              <w:t>小写：</w:t>
            </w:r>
            <w:r>
              <w:rPr>
                <w:rFonts w:hint="eastAsia" w:ascii="宋体" w:hAnsi="宋体" w:eastAsia="宋体" w:cs="宋体"/>
                <w:b/>
                <w:bCs/>
                <w:color w:val="auto"/>
                <w:sz w:val="21"/>
                <w:szCs w:val="21"/>
                <w:highlight w:val="none"/>
                <w:u w:val="single"/>
                <w:vertAlign w:val="baseline"/>
                <w:lang w:val="en-US" w:eastAsia="zh-CN"/>
              </w:rPr>
              <w:t xml:space="preserve">      </w:t>
            </w:r>
            <w:r>
              <w:rPr>
                <w:rFonts w:hint="eastAsia" w:ascii="宋体" w:hAnsi="宋体" w:eastAsia="宋体" w:cs="宋体"/>
                <w:b/>
                <w:bCs/>
                <w:color w:val="auto"/>
                <w:sz w:val="21"/>
                <w:szCs w:val="21"/>
                <w:highlight w:val="none"/>
                <w:u w:val="none"/>
                <w:vertAlign w:val="baseline"/>
                <w:lang w:val="en-US" w:eastAsia="zh-CN"/>
              </w:rPr>
              <w:t>%</w:t>
            </w:r>
          </w:p>
        </w:tc>
      </w:tr>
      <w:tr w14:paraId="467738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875" w:type="dxa"/>
            <w:gridSpan w:val="9"/>
            <w:tcBorders>
              <w:tl2br w:val="nil"/>
              <w:tr2bl w:val="nil"/>
            </w:tcBorders>
            <w:shd w:val="clear" w:color="auto" w:fill="auto"/>
            <w:noWrap/>
            <w:vAlign w:val="center"/>
          </w:tcPr>
          <w:p w14:paraId="4CB25E35">
            <w:pPr>
              <w:keepNext w:val="0"/>
              <w:keepLines w:val="0"/>
              <w:widowControl/>
              <w:suppressLineNumbers w:val="0"/>
              <w:jc w:val="center"/>
              <w:textAlignment w:val="center"/>
              <w:rPr>
                <w:rFonts w:hint="eastAsia" w:ascii="宋体" w:hAnsi="宋体" w:eastAsia="宋体" w:cs="宋体"/>
                <w:b/>
                <w:bCs/>
                <w:color w:val="auto"/>
                <w:kern w:val="0"/>
                <w:szCs w:val="21"/>
                <w:highlight w:val="none"/>
                <w:lang w:val="en-US" w:eastAsia="zh-CN"/>
              </w:rPr>
            </w:pPr>
            <w:r>
              <w:rPr>
                <w:rFonts w:hint="eastAsia" w:ascii="宋体" w:hAnsi="宋体" w:eastAsia="宋体" w:cs="宋体"/>
                <w:b/>
                <w:bCs/>
                <w:i w:val="0"/>
                <w:iCs w:val="0"/>
                <w:color w:val="auto"/>
                <w:sz w:val="24"/>
                <w:szCs w:val="24"/>
                <w:highlight w:val="none"/>
                <w:u w:val="none"/>
                <w:lang w:val="en-US" w:eastAsia="zh-CN"/>
              </w:rPr>
              <w:t>报价明细清单</w:t>
            </w:r>
          </w:p>
        </w:tc>
      </w:tr>
      <w:tr w14:paraId="38F05C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noWrap/>
            <w:vAlign w:val="center"/>
          </w:tcPr>
          <w:p w14:paraId="1EEE2385">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序号</w:t>
            </w:r>
          </w:p>
        </w:tc>
        <w:tc>
          <w:tcPr>
            <w:tcW w:w="1888" w:type="dxa"/>
            <w:tcBorders>
              <w:tl2br w:val="nil"/>
              <w:tr2bl w:val="nil"/>
            </w:tcBorders>
            <w:shd w:val="clear" w:color="auto" w:fill="auto"/>
            <w:noWrap/>
            <w:vAlign w:val="center"/>
          </w:tcPr>
          <w:p w14:paraId="5B171D9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项目类别</w:t>
            </w:r>
          </w:p>
        </w:tc>
        <w:tc>
          <w:tcPr>
            <w:tcW w:w="2812" w:type="dxa"/>
            <w:tcBorders>
              <w:tl2br w:val="nil"/>
              <w:tr2bl w:val="nil"/>
            </w:tcBorders>
            <w:shd w:val="clear" w:color="auto" w:fill="auto"/>
            <w:noWrap/>
            <w:vAlign w:val="center"/>
          </w:tcPr>
          <w:p w14:paraId="5425CDA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配件名称</w:t>
            </w:r>
          </w:p>
        </w:tc>
        <w:tc>
          <w:tcPr>
            <w:tcW w:w="925" w:type="dxa"/>
            <w:gridSpan w:val="2"/>
            <w:tcBorders>
              <w:tl2br w:val="nil"/>
              <w:tr2bl w:val="nil"/>
            </w:tcBorders>
            <w:shd w:val="clear" w:color="auto" w:fill="auto"/>
            <w:noWrap/>
            <w:vAlign w:val="center"/>
          </w:tcPr>
          <w:p w14:paraId="796D1F5C">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highlight w:val="none"/>
                <w:u w:val="none"/>
                <w:lang w:val="en-US" w:eastAsia="zh-CN" w:bidi="ar"/>
              </w:rPr>
            </w:pPr>
            <w:r>
              <w:rPr>
                <w:rFonts w:hint="eastAsia" w:ascii="宋体" w:hAnsi="宋体" w:eastAsia="宋体" w:cs="宋体"/>
                <w:b/>
                <w:bCs/>
                <w:i w:val="0"/>
                <w:iCs w:val="0"/>
                <w:color w:val="000000"/>
                <w:kern w:val="0"/>
                <w:sz w:val="21"/>
                <w:szCs w:val="21"/>
                <w:highlight w:val="none"/>
                <w:u w:val="none"/>
                <w:lang w:val="en-US" w:eastAsia="zh-CN" w:bidi="ar"/>
              </w:rPr>
              <w:t>品牌</w:t>
            </w:r>
          </w:p>
        </w:tc>
        <w:tc>
          <w:tcPr>
            <w:tcW w:w="1263" w:type="dxa"/>
            <w:tcBorders>
              <w:tl2br w:val="nil"/>
              <w:tr2bl w:val="nil"/>
            </w:tcBorders>
            <w:shd w:val="clear" w:color="auto" w:fill="auto"/>
            <w:noWrap/>
            <w:vAlign w:val="center"/>
          </w:tcPr>
          <w:p w14:paraId="30BAD1C5">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highlight w:val="none"/>
                <w:u w:val="none"/>
                <w:lang w:val="en-US" w:eastAsia="zh-CN" w:bidi="ar"/>
              </w:rPr>
            </w:pPr>
            <w:r>
              <w:rPr>
                <w:rFonts w:hint="eastAsia" w:ascii="宋体" w:hAnsi="宋体" w:eastAsia="宋体" w:cs="宋体"/>
                <w:b/>
                <w:bCs/>
                <w:i w:val="0"/>
                <w:iCs w:val="0"/>
                <w:color w:val="000000"/>
                <w:kern w:val="0"/>
                <w:sz w:val="21"/>
                <w:szCs w:val="21"/>
                <w:highlight w:val="none"/>
                <w:u w:val="none"/>
                <w:lang w:val="en-US" w:eastAsia="zh-CN" w:bidi="ar"/>
              </w:rPr>
              <w:t>规格型号</w:t>
            </w:r>
          </w:p>
        </w:tc>
        <w:tc>
          <w:tcPr>
            <w:tcW w:w="575" w:type="dxa"/>
            <w:tcBorders>
              <w:tl2br w:val="nil"/>
              <w:tr2bl w:val="nil"/>
            </w:tcBorders>
            <w:shd w:val="clear" w:color="auto" w:fill="auto"/>
            <w:noWrap/>
            <w:vAlign w:val="center"/>
          </w:tcPr>
          <w:p w14:paraId="03AFBC52">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数量</w:t>
            </w:r>
          </w:p>
        </w:tc>
        <w:tc>
          <w:tcPr>
            <w:tcW w:w="606" w:type="dxa"/>
            <w:tcBorders>
              <w:tl2br w:val="nil"/>
              <w:tr2bl w:val="nil"/>
            </w:tcBorders>
            <w:shd w:val="clear" w:color="auto" w:fill="auto"/>
            <w:noWrap/>
            <w:vAlign w:val="center"/>
          </w:tcPr>
          <w:p w14:paraId="19E53EC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300" w:type="dxa"/>
            <w:tcBorders>
              <w:tl2br w:val="nil"/>
              <w:tr2bl w:val="nil"/>
            </w:tcBorders>
            <w:shd w:val="clear" w:color="auto" w:fill="auto"/>
            <w:noWrap/>
            <w:vAlign w:val="center"/>
          </w:tcPr>
          <w:p w14:paraId="65559E7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color w:val="auto"/>
                <w:kern w:val="0"/>
                <w:szCs w:val="21"/>
                <w:highlight w:val="none"/>
                <w:lang w:val="en-US" w:eastAsia="zh-CN"/>
              </w:rPr>
              <w:t>综合单价控制价</w:t>
            </w:r>
            <w:r>
              <w:rPr>
                <w:rFonts w:hint="eastAsia" w:ascii="宋体" w:hAnsi="宋体" w:eastAsia="宋体" w:cs="宋体"/>
                <w:b/>
                <w:bCs/>
                <w:i w:val="0"/>
                <w:iCs w:val="0"/>
                <w:color w:val="000000"/>
                <w:kern w:val="0"/>
                <w:sz w:val="21"/>
                <w:szCs w:val="21"/>
                <w:u w:val="none"/>
                <w:lang w:val="en-US" w:eastAsia="zh-CN" w:bidi="ar"/>
              </w:rPr>
              <w:t>（元）</w:t>
            </w:r>
          </w:p>
        </w:tc>
      </w:tr>
      <w:tr w14:paraId="381B8D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6213979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888" w:type="dxa"/>
            <w:vMerge w:val="restart"/>
            <w:tcBorders>
              <w:tl2br w:val="nil"/>
              <w:tr2bl w:val="nil"/>
            </w:tcBorders>
            <w:shd w:val="clear" w:color="auto" w:fill="auto"/>
            <w:vAlign w:val="center"/>
          </w:tcPr>
          <w:p w14:paraId="08697B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监护除颤类</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迈瑞(ePM、iPM、MEC、iMEC系列等）、飞利浦（GS20、G30、G30E、UT4000等)、科曼（C50、C70）、日本（上海）光电、宝莱特</w:t>
            </w:r>
            <w:r>
              <w:rPr>
                <w:rFonts w:hint="eastAsia" w:ascii="宋体" w:hAnsi="宋体" w:cs="宋体"/>
                <w:i w:val="0"/>
                <w:iCs w:val="0"/>
                <w:color w:val="000000"/>
                <w:kern w:val="0"/>
                <w:sz w:val="21"/>
                <w:szCs w:val="21"/>
                <w:u w:val="none"/>
                <w:lang w:val="en-US" w:eastAsia="zh-CN" w:bidi="ar"/>
              </w:rPr>
              <w:t>】</w:t>
            </w:r>
          </w:p>
        </w:tc>
        <w:tc>
          <w:tcPr>
            <w:tcW w:w="2812" w:type="dxa"/>
            <w:tcBorders>
              <w:tl2br w:val="nil"/>
              <w:tr2bl w:val="nil"/>
            </w:tcBorders>
            <w:shd w:val="clear" w:color="auto" w:fill="auto"/>
            <w:noWrap/>
            <w:vAlign w:val="center"/>
          </w:tcPr>
          <w:p w14:paraId="363E4FB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监护仪袖带</w:t>
            </w:r>
          </w:p>
        </w:tc>
        <w:tc>
          <w:tcPr>
            <w:tcW w:w="925" w:type="dxa"/>
            <w:gridSpan w:val="2"/>
            <w:tcBorders>
              <w:tl2br w:val="nil"/>
              <w:tr2bl w:val="nil"/>
            </w:tcBorders>
            <w:shd w:val="clear" w:color="auto" w:fill="auto"/>
            <w:noWrap/>
            <w:vAlign w:val="center"/>
          </w:tcPr>
          <w:p w14:paraId="1905B9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0935ADE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16206814">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4CFB98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0804836E">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27</w:t>
            </w:r>
          </w:p>
        </w:tc>
      </w:tr>
      <w:tr w14:paraId="5DCA03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60116DE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2</w:t>
            </w:r>
          </w:p>
        </w:tc>
        <w:tc>
          <w:tcPr>
            <w:tcW w:w="1888" w:type="dxa"/>
            <w:vMerge w:val="continue"/>
            <w:tcBorders>
              <w:tl2br w:val="nil"/>
              <w:tr2bl w:val="nil"/>
            </w:tcBorders>
            <w:shd w:val="clear" w:color="auto" w:fill="auto"/>
            <w:vAlign w:val="center"/>
          </w:tcPr>
          <w:p w14:paraId="68CA31EF">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0829F3A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心电导联线</w:t>
            </w:r>
          </w:p>
        </w:tc>
        <w:tc>
          <w:tcPr>
            <w:tcW w:w="925" w:type="dxa"/>
            <w:gridSpan w:val="2"/>
            <w:tcBorders>
              <w:tl2br w:val="nil"/>
              <w:tr2bl w:val="nil"/>
            </w:tcBorders>
            <w:shd w:val="clear" w:color="auto" w:fill="auto"/>
            <w:noWrap/>
            <w:vAlign w:val="center"/>
          </w:tcPr>
          <w:p w14:paraId="5BF0DA7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35C7CA3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4A87E1C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3D4610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771C463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98.4</w:t>
            </w:r>
          </w:p>
        </w:tc>
      </w:tr>
      <w:tr w14:paraId="2475A0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5D5E0AC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3</w:t>
            </w:r>
          </w:p>
        </w:tc>
        <w:tc>
          <w:tcPr>
            <w:tcW w:w="1888" w:type="dxa"/>
            <w:vMerge w:val="continue"/>
            <w:tcBorders>
              <w:tl2br w:val="nil"/>
              <w:tr2bl w:val="nil"/>
            </w:tcBorders>
            <w:shd w:val="clear" w:color="auto" w:fill="auto"/>
            <w:vAlign w:val="center"/>
          </w:tcPr>
          <w:p w14:paraId="031B3D32">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56A8CDA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血氧饱和度探头</w:t>
            </w:r>
          </w:p>
        </w:tc>
        <w:tc>
          <w:tcPr>
            <w:tcW w:w="925" w:type="dxa"/>
            <w:gridSpan w:val="2"/>
            <w:tcBorders>
              <w:tl2br w:val="nil"/>
              <w:tr2bl w:val="nil"/>
            </w:tcBorders>
            <w:shd w:val="clear" w:color="auto" w:fill="auto"/>
            <w:noWrap/>
            <w:vAlign w:val="center"/>
          </w:tcPr>
          <w:p w14:paraId="2FC5E36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E701C5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7C22CA9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3C8CBD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10621B7F">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84.28</w:t>
            </w:r>
          </w:p>
        </w:tc>
      </w:tr>
      <w:tr w14:paraId="30B7B1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634BCCE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4</w:t>
            </w:r>
          </w:p>
        </w:tc>
        <w:tc>
          <w:tcPr>
            <w:tcW w:w="1888" w:type="dxa"/>
            <w:vMerge w:val="continue"/>
            <w:tcBorders>
              <w:tl2br w:val="nil"/>
              <w:tr2bl w:val="nil"/>
            </w:tcBorders>
            <w:shd w:val="clear" w:color="auto" w:fill="auto"/>
            <w:vAlign w:val="center"/>
          </w:tcPr>
          <w:p w14:paraId="2AC5077A">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1E5C6DC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血压延长管</w:t>
            </w:r>
          </w:p>
        </w:tc>
        <w:tc>
          <w:tcPr>
            <w:tcW w:w="925" w:type="dxa"/>
            <w:gridSpan w:val="2"/>
            <w:tcBorders>
              <w:tl2br w:val="nil"/>
              <w:tr2bl w:val="nil"/>
            </w:tcBorders>
            <w:shd w:val="clear" w:color="auto" w:fill="auto"/>
            <w:noWrap/>
            <w:vAlign w:val="center"/>
          </w:tcPr>
          <w:p w14:paraId="1195576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C0595E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0BD2852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132C52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1B849DE4">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68.6</w:t>
            </w:r>
          </w:p>
        </w:tc>
      </w:tr>
      <w:tr w14:paraId="01AACA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45108F4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5</w:t>
            </w:r>
          </w:p>
        </w:tc>
        <w:tc>
          <w:tcPr>
            <w:tcW w:w="1888" w:type="dxa"/>
            <w:vMerge w:val="continue"/>
            <w:tcBorders>
              <w:tl2br w:val="nil"/>
              <w:tr2bl w:val="nil"/>
            </w:tcBorders>
            <w:shd w:val="clear" w:color="auto" w:fill="auto"/>
            <w:vAlign w:val="center"/>
          </w:tcPr>
          <w:p w14:paraId="4AEF6A57">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792B7D2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有创压电缆</w:t>
            </w:r>
          </w:p>
        </w:tc>
        <w:tc>
          <w:tcPr>
            <w:tcW w:w="925" w:type="dxa"/>
            <w:gridSpan w:val="2"/>
            <w:tcBorders>
              <w:tl2br w:val="nil"/>
              <w:tr2bl w:val="nil"/>
            </w:tcBorders>
            <w:shd w:val="clear" w:color="auto" w:fill="auto"/>
            <w:noWrap/>
            <w:vAlign w:val="center"/>
          </w:tcPr>
          <w:p w14:paraId="2359213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2BB32FD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454FED5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19C829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2C7E7B1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105.8</w:t>
            </w:r>
          </w:p>
        </w:tc>
      </w:tr>
      <w:tr w14:paraId="4A7F04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195B5C3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6</w:t>
            </w:r>
          </w:p>
        </w:tc>
        <w:tc>
          <w:tcPr>
            <w:tcW w:w="1888" w:type="dxa"/>
            <w:vMerge w:val="continue"/>
            <w:tcBorders>
              <w:tl2br w:val="nil"/>
              <w:tr2bl w:val="nil"/>
            </w:tcBorders>
            <w:shd w:val="clear" w:color="auto" w:fill="auto"/>
            <w:vAlign w:val="center"/>
          </w:tcPr>
          <w:p w14:paraId="4F153CC6">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47C7AC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监护仪铅酸蓄电池</w:t>
            </w:r>
          </w:p>
        </w:tc>
        <w:tc>
          <w:tcPr>
            <w:tcW w:w="925" w:type="dxa"/>
            <w:gridSpan w:val="2"/>
            <w:tcBorders>
              <w:tl2br w:val="nil"/>
              <w:tr2bl w:val="nil"/>
            </w:tcBorders>
            <w:shd w:val="clear" w:color="auto" w:fill="auto"/>
            <w:noWrap/>
            <w:vAlign w:val="center"/>
          </w:tcPr>
          <w:p w14:paraId="138BF32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77006A6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71B116E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5A7D0E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1300" w:type="dxa"/>
            <w:tcBorders>
              <w:tl2br w:val="nil"/>
              <w:tr2bl w:val="nil"/>
            </w:tcBorders>
            <w:shd w:val="clear" w:color="auto" w:fill="FFFFFF"/>
            <w:noWrap/>
            <w:vAlign w:val="center"/>
          </w:tcPr>
          <w:p w14:paraId="4A84B89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135</w:t>
            </w:r>
          </w:p>
        </w:tc>
      </w:tr>
      <w:tr w14:paraId="17ECAC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646F106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7</w:t>
            </w:r>
          </w:p>
        </w:tc>
        <w:tc>
          <w:tcPr>
            <w:tcW w:w="1888" w:type="dxa"/>
            <w:vMerge w:val="continue"/>
            <w:tcBorders>
              <w:tl2br w:val="nil"/>
              <w:tr2bl w:val="nil"/>
            </w:tcBorders>
            <w:shd w:val="clear" w:color="auto" w:fill="auto"/>
            <w:vAlign w:val="center"/>
          </w:tcPr>
          <w:p w14:paraId="009DE34B">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36F8B7B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监护仪锂电池</w:t>
            </w:r>
          </w:p>
        </w:tc>
        <w:tc>
          <w:tcPr>
            <w:tcW w:w="925" w:type="dxa"/>
            <w:gridSpan w:val="2"/>
            <w:tcBorders>
              <w:tl2br w:val="nil"/>
              <w:tr2bl w:val="nil"/>
            </w:tcBorders>
            <w:shd w:val="clear" w:color="auto" w:fill="auto"/>
            <w:noWrap/>
            <w:vAlign w:val="center"/>
          </w:tcPr>
          <w:p w14:paraId="42BA406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6F7201A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134D3B4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187AEA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1300" w:type="dxa"/>
            <w:tcBorders>
              <w:tl2br w:val="nil"/>
              <w:tr2bl w:val="nil"/>
            </w:tcBorders>
            <w:shd w:val="clear" w:color="auto" w:fill="FFFFFF"/>
            <w:noWrap/>
            <w:vAlign w:val="center"/>
          </w:tcPr>
          <w:p w14:paraId="028DF7C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480.2</w:t>
            </w:r>
          </w:p>
        </w:tc>
      </w:tr>
      <w:tr w14:paraId="2FC426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6DC4B2F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8</w:t>
            </w:r>
          </w:p>
        </w:tc>
        <w:tc>
          <w:tcPr>
            <w:tcW w:w="1888" w:type="dxa"/>
            <w:vMerge w:val="continue"/>
            <w:tcBorders>
              <w:tl2br w:val="nil"/>
              <w:tr2bl w:val="nil"/>
            </w:tcBorders>
            <w:shd w:val="clear" w:color="auto" w:fill="auto"/>
            <w:vAlign w:val="center"/>
          </w:tcPr>
          <w:p w14:paraId="1C000F89">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04C1D90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除颤仪电池</w:t>
            </w:r>
          </w:p>
        </w:tc>
        <w:tc>
          <w:tcPr>
            <w:tcW w:w="925" w:type="dxa"/>
            <w:gridSpan w:val="2"/>
            <w:tcBorders>
              <w:tl2br w:val="nil"/>
              <w:tr2bl w:val="nil"/>
            </w:tcBorders>
            <w:shd w:val="clear" w:color="auto" w:fill="auto"/>
            <w:noWrap/>
            <w:vAlign w:val="center"/>
          </w:tcPr>
          <w:p w14:paraId="6B2C8B2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6B8E5C5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3F9EB33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32E780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1300" w:type="dxa"/>
            <w:tcBorders>
              <w:tl2br w:val="nil"/>
              <w:tr2bl w:val="nil"/>
            </w:tcBorders>
            <w:shd w:val="clear" w:color="auto" w:fill="auto"/>
            <w:noWrap/>
            <w:vAlign w:val="center"/>
          </w:tcPr>
          <w:p w14:paraId="60DB245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2202.5</w:t>
            </w:r>
          </w:p>
        </w:tc>
      </w:tr>
      <w:tr w14:paraId="13FE42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398A78D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9</w:t>
            </w:r>
          </w:p>
        </w:tc>
        <w:tc>
          <w:tcPr>
            <w:tcW w:w="1888" w:type="dxa"/>
            <w:vMerge w:val="continue"/>
            <w:tcBorders>
              <w:tl2br w:val="nil"/>
              <w:tr2bl w:val="nil"/>
            </w:tcBorders>
            <w:shd w:val="clear" w:color="auto" w:fill="auto"/>
            <w:vAlign w:val="center"/>
          </w:tcPr>
          <w:p w14:paraId="00BEE53F">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7803E31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遥测导联线</w:t>
            </w:r>
          </w:p>
        </w:tc>
        <w:tc>
          <w:tcPr>
            <w:tcW w:w="925" w:type="dxa"/>
            <w:gridSpan w:val="2"/>
            <w:tcBorders>
              <w:tl2br w:val="nil"/>
              <w:tr2bl w:val="nil"/>
            </w:tcBorders>
            <w:shd w:val="clear" w:color="auto" w:fill="auto"/>
            <w:noWrap/>
            <w:vAlign w:val="center"/>
          </w:tcPr>
          <w:p w14:paraId="190DC6B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1C457C7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5E94AFB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2043FF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397BEB9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235.2</w:t>
            </w:r>
          </w:p>
        </w:tc>
      </w:tr>
      <w:tr w14:paraId="1B6F08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00533699">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1888" w:type="dxa"/>
            <w:vMerge w:val="restart"/>
            <w:tcBorders>
              <w:tl2br w:val="nil"/>
              <w:tr2bl w:val="nil"/>
            </w:tcBorders>
            <w:shd w:val="clear" w:color="auto" w:fill="auto"/>
            <w:vAlign w:val="center"/>
          </w:tcPr>
          <w:p w14:paraId="4F1990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血压计类（鱼跃、欧姆龙）</w:t>
            </w:r>
          </w:p>
        </w:tc>
        <w:tc>
          <w:tcPr>
            <w:tcW w:w="2812" w:type="dxa"/>
            <w:tcBorders>
              <w:tl2br w:val="nil"/>
              <w:tr2bl w:val="nil"/>
            </w:tcBorders>
            <w:shd w:val="clear" w:color="auto" w:fill="auto"/>
            <w:noWrap/>
            <w:vAlign w:val="center"/>
          </w:tcPr>
          <w:p w14:paraId="666755A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电子血压计袖带</w:t>
            </w:r>
          </w:p>
        </w:tc>
        <w:tc>
          <w:tcPr>
            <w:tcW w:w="925" w:type="dxa"/>
            <w:gridSpan w:val="2"/>
            <w:tcBorders>
              <w:tl2br w:val="nil"/>
              <w:tr2bl w:val="nil"/>
            </w:tcBorders>
            <w:shd w:val="clear" w:color="auto" w:fill="auto"/>
            <w:noWrap/>
            <w:vAlign w:val="center"/>
          </w:tcPr>
          <w:p w14:paraId="461FF43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0BD17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1896D76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6D66A0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4288FEA6">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176.4</w:t>
            </w:r>
          </w:p>
        </w:tc>
      </w:tr>
      <w:tr w14:paraId="02A93A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6E2D5D39">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11</w:t>
            </w:r>
          </w:p>
        </w:tc>
        <w:tc>
          <w:tcPr>
            <w:tcW w:w="1888" w:type="dxa"/>
            <w:vMerge w:val="continue"/>
            <w:tcBorders>
              <w:tl2br w:val="nil"/>
              <w:tr2bl w:val="nil"/>
            </w:tcBorders>
            <w:shd w:val="clear" w:color="auto" w:fill="auto"/>
            <w:vAlign w:val="center"/>
          </w:tcPr>
          <w:p w14:paraId="3F0D1C1C">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7D5D51C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电子血压计电池</w:t>
            </w:r>
          </w:p>
        </w:tc>
        <w:tc>
          <w:tcPr>
            <w:tcW w:w="925" w:type="dxa"/>
            <w:gridSpan w:val="2"/>
            <w:tcBorders>
              <w:tl2br w:val="nil"/>
              <w:tr2bl w:val="nil"/>
            </w:tcBorders>
            <w:shd w:val="clear" w:color="auto" w:fill="auto"/>
            <w:noWrap/>
            <w:vAlign w:val="center"/>
          </w:tcPr>
          <w:p w14:paraId="05959CC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7B8ADF3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66A64FC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004A12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1BCA062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127.4</w:t>
            </w:r>
          </w:p>
        </w:tc>
      </w:tr>
      <w:tr w14:paraId="6F27A6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7C1F66B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12</w:t>
            </w:r>
          </w:p>
        </w:tc>
        <w:tc>
          <w:tcPr>
            <w:tcW w:w="1888" w:type="dxa"/>
            <w:vMerge w:val="continue"/>
            <w:tcBorders>
              <w:tl2br w:val="nil"/>
              <w:tr2bl w:val="nil"/>
            </w:tcBorders>
            <w:shd w:val="clear" w:color="auto" w:fill="auto"/>
            <w:vAlign w:val="center"/>
          </w:tcPr>
          <w:p w14:paraId="2AAC5D79">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14B03E1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台式电子血压计袖套</w:t>
            </w:r>
          </w:p>
        </w:tc>
        <w:tc>
          <w:tcPr>
            <w:tcW w:w="925" w:type="dxa"/>
            <w:gridSpan w:val="2"/>
            <w:tcBorders>
              <w:tl2br w:val="nil"/>
              <w:tr2bl w:val="nil"/>
            </w:tcBorders>
            <w:shd w:val="clear" w:color="auto" w:fill="auto"/>
            <w:noWrap/>
            <w:vAlign w:val="center"/>
          </w:tcPr>
          <w:p w14:paraId="73B276D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6F53AF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53DE456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5CC433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03FCA4C5">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244</w:t>
            </w:r>
          </w:p>
        </w:tc>
      </w:tr>
      <w:tr w14:paraId="4C70E4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08AF5F6B">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13</w:t>
            </w:r>
          </w:p>
        </w:tc>
        <w:tc>
          <w:tcPr>
            <w:tcW w:w="1888" w:type="dxa"/>
            <w:vMerge w:val="continue"/>
            <w:tcBorders>
              <w:tl2br w:val="nil"/>
              <w:tr2bl w:val="nil"/>
            </w:tcBorders>
            <w:shd w:val="clear" w:color="auto" w:fill="auto"/>
            <w:vAlign w:val="center"/>
          </w:tcPr>
          <w:p w14:paraId="488C019D">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5614817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电子血压计充电器</w:t>
            </w:r>
          </w:p>
        </w:tc>
        <w:tc>
          <w:tcPr>
            <w:tcW w:w="925" w:type="dxa"/>
            <w:gridSpan w:val="2"/>
            <w:tcBorders>
              <w:tl2br w:val="nil"/>
              <w:tr2bl w:val="nil"/>
            </w:tcBorders>
            <w:shd w:val="clear" w:color="auto" w:fill="auto"/>
            <w:noWrap/>
            <w:vAlign w:val="center"/>
          </w:tcPr>
          <w:p w14:paraId="3770712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A19276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3482D22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2DB2D6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573DE85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59.2</w:t>
            </w:r>
          </w:p>
        </w:tc>
      </w:tr>
      <w:tr w14:paraId="3FF10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03517408">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c>
          <w:tcPr>
            <w:tcW w:w="1888" w:type="dxa"/>
            <w:vMerge w:val="restart"/>
            <w:tcBorders>
              <w:tl2br w:val="nil"/>
              <w:tr2bl w:val="nil"/>
            </w:tcBorders>
            <w:shd w:val="clear" w:color="auto" w:fill="auto"/>
            <w:vAlign w:val="center"/>
          </w:tcPr>
          <w:p w14:paraId="1E41F5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理疗类（物理降温仪、脑功能治疗仪、吞咽神经盒肌肉电刺激仪）</w:t>
            </w:r>
          </w:p>
        </w:tc>
        <w:tc>
          <w:tcPr>
            <w:tcW w:w="2812" w:type="dxa"/>
            <w:tcBorders>
              <w:tl2br w:val="nil"/>
              <w:tr2bl w:val="nil"/>
            </w:tcBorders>
            <w:shd w:val="clear" w:color="auto" w:fill="auto"/>
            <w:noWrap/>
            <w:vAlign w:val="center"/>
          </w:tcPr>
          <w:p w14:paraId="295D41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物理降温仪温度传感器</w:t>
            </w:r>
          </w:p>
        </w:tc>
        <w:tc>
          <w:tcPr>
            <w:tcW w:w="925" w:type="dxa"/>
            <w:gridSpan w:val="2"/>
            <w:tcBorders>
              <w:tl2br w:val="nil"/>
              <w:tr2bl w:val="nil"/>
            </w:tcBorders>
            <w:shd w:val="clear" w:color="auto" w:fill="auto"/>
            <w:noWrap/>
            <w:vAlign w:val="center"/>
          </w:tcPr>
          <w:p w14:paraId="7F94DF4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FF6E4F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3CEF167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33C57D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FFFFFF"/>
            <w:noWrap/>
            <w:vAlign w:val="center"/>
          </w:tcPr>
          <w:p w14:paraId="076678BF">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254.8</w:t>
            </w:r>
          </w:p>
        </w:tc>
      </w:tr>
      <w:tr w14:paraId="4CEDDD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5F274365">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15</w:t>
            </w:r>
          </w:p>
        </w:tc>
        <w:tc>
          <w:tcPr>
            <w:tcW w:w="1888" w:type="dxa"/>
            <w:vMerge w:val="continue"/>
            <w:tcBorders>
              <w:tl2br w:val="nil"/>
              <w:tr2bl w:val="nil"/>
            </w:tcBorders>
            <w:shd w:val="clear" w:color="auto" w:fill="auto"/>
            <w:vAlign w:val="center"/>
          </w:tcPr>
          <w:p w14:paraId="31C0C64F">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052968F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软冰帽</w:t>
            </w:r>
          </w:p>
        </w:tc>
        <w:tc>
          <w:tcPr>
            <w:tcW w:w="925" w:type="dxa"/>
            <w:gridSpan w:val="2"/>
            <w:tcBorders>
              <w:tl2br w:val="nil"/>
              <w:tr2bl w:val="nil"/>
            </w:tcBorders>
            <w:shd w:val="clear" w:color="auto" w:fill="auto"/>
            <w:noWrap/>
            <w:vAlign w:val="center"/>
          </w:tcPr>
          <w:p w14:paraId="61E1705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7A4553B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695F75E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19CE71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51E8701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862</w:t>
            </w:r>
          </w:p>
        </w:tc>
      </w:tr>
      <w:tr w14:paraId="56A086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512911FD">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16</w:t>
            </w:r>
          </w:p>
        </w:tc>
        <w:tc>
          <w:tcPr>
            <w:tcW w:w="1888" w:type="dxa"/>
            <w:vMerge w:val="continue"/>
            <w:tcBorders>
              <w:tl2br w:val="nil"/>
              <w:tr2bl w:val="nil"/>
            </w:tcBorders>
            <w:shd w:val="clear" w:color="auto" w:fill="auto"/>
            <w:vAlign w:val="center"/>
          </w:tcPr>
          <w:p w14:paraId="7A3E1BED">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25113E9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冰毯</w:t>
            </w:r>
          </w:p>
        </w:tc>
        <w:tc>
          <w:tcPr>
            <w:tcW w:w="925" w:type="dxa"/>
            <w:gridSpan w:val="2"/>
            <w:tcBorders>
              <w:tl2br w:val="nil"/>
              <w:tr2bl w:val="nil"/>
            </w:tcBorders>
            <w:shd w:val="clear" w:color="auto" w:fill="auto"/>
            <w:noWrap/>
            <w:vAlign w:val="center"/>
          </w:tcPr>
          <w:p w14:paraId="2C129BF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36759B3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62182CC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676632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53742F8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1391.6</w:t>
            </w:r>
          </w:p>
        </w:tc>
      </w:tr>
      <w:tr w14:paraId="432041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6770B97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17</w:t>
            </w:r>
          </w:p>
        </w:tc>
        <w:tc>
          <w:tcPr>
            <w:tcW w:w="1888" w:type="dxa"/>
            <w:vMerge w:val="continue"/>
            <w:tcBorders>
              <w:tl2br w:val="nil"/>
              <w:tr2bl w:val="nil"/>
            </w:tcBorders>
            <w:shd w:val="clear" w:color="auto" w:fill="auto"/>
            <w:vAlign w:val="center"/>
          </w:tcPr>
          <w:p w14:paraId="031BFA76">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65DB816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电源线(两孔、三孔)</w:t>
            </w:r>
          </w:p>
        </w:tc>
        <w:tc>
          <w:tcPr>
            <w:tcW w:w="925" w:type="dxa"/>
            <w:gridSpan w:val="2"/>
            <w:tcBorders>
              <w:tl2br w:val="nil"/>
              <w:tr2bl w:val="nil"/>
            </w:tcBorders>
            <w:shd w:val="clear" w:color="auto" w:fill="auto"/>
            <w:noWrap/>
            <w:vAlign w:val="center"/>
          </w:tcPr>
          <w:p w14:paraId="11A680F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5A76693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3E1262C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50D3C2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78677E1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18.9</w:t>
            </w:r>
          </w:p>
        </w:tc>
      </w:tr>
      <w:tr w14:paraId="7362A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271F512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18</w:t>
            </w:r>
          </w:p>
        </w:tc>
        <w:tc>
          <w:tcPr>
            <w:tcW w:w="1888" w:type="dxa"/>
            <w:vMerge w:val="continue"/>
            <w:tcBorders>
              <w:tl2br w:val="nil"/>
              <w:tr2bl w:val="nil"/>
            </w:tcBorders>
            <w:shd w:val="clear" w:color="auto" w:fill="auto"/>
            <w:vAlign w:val="center"/>
          </w:tcPr>
          <w:p w14:paraId="624710EA">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058CDDC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脑功能治疗仪导联线</w:t>
            </w:r>
          </w:p>
        </w:tc>
        <w:tc>
          <w:tcPr>
            <w:tcW w:w="925" w:type="dxa"/>
            <w:gridSpan w:val="2"/>
            <w:tcBorders>
              <w:tl2br w:val="nil"/>
              <w:tr2bl w:val="nil"/>
            </w:tcBorders>
            <w:shd w:val="clear" w:color="auto" w:fill="auto"/>
            <w:noWrap/>
            <w:vAlign w:val="center"/>
          </w:tcPr>
          <w:p w14:paraId="60B3DF4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59A2C03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794A34B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012349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2B51CE5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249.9</w:t>
            </w:r>
          </w:p>
        </w:tc>
      </w:tr>
      <w:tr w14:paraId="373CD3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069D599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19</w:t>
            </w:r>
          </w:p>
        </w:tc>
        <w:tc>
          <w:tcPr>
            <w:tcW w:w="1888" w:type="dxa"/>
            <w:vMerge w:val="continue"/>
            <w:tcBorders>
              <w:tl2br w:val="nil"/>
              <w:tr2bl w:val="nil"/>
            </w:tcBorders>
            <w:shd w:val="clear" w:color="auto" w:fill="auto"/>
            <w:vAlign w:val="center"/>
          </w:tcPr>
          <w:p w14:paraId="50EB2A61">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787219A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吞咽语言治疗仪电极线</w:t>
            </w:r>
          </w:p>
        </w:tc>
        <w:tc>
          <w:tcPr>
            <w:tcW w:w="925" w:type="dxa"/>
            <w:gridSpan w:val="2"/>
            <w:tcBorders>
              <w:tl2br w:val="nil"/>
              <w:tr2bl w:val="nil"/>
            </w:tcBorders>
            <w:shd w:val="clear" w:color="auto" w:fill="auto"/>
            <w:noWrap/>
            <w:vAlign w:val="center"/>
          </w:tcPr>
          <w:p w14:paraId="3E2D7F4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7F55A87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3F6BEC4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3B7F2A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2A63EF7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1234.8</w:t>
            </w:r>
          </w:p>
        </w:tc>
      </w:tr>
      <w:tr w14:paraId="14F041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3CFDB9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888" w:type="dxa"/>
            <w:vMerge w:val="continue"/>
            <w:tcBorders>
              <w:tl2br w:val="nil"/>
              <w:tr2bl w:val="nil"/>
            </w:tcBorders>
            <w:shd w:val="clear" w:color="auto" w:fill="auto"/>
            <w:vAlign w:val="center"/>
          </w:tcPr>
          <w:p w14:paraId="3B3A9743">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22F2023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小氧表</w:t>
            </w:r>
          </w:p>
        </w:tc>
        <w:tc>
          <w:tcPr>
            <w:tcW w:w="925" w:type="dxa"/>
            <w:gridSpan w:val="2"/>
            <w:tcBorders>
              <w:tl2br w:val="nil"/>
              <w:tr2bl w:val="nil"/>
            </w:tcBorders>
            <w:shd w:val="clear" w:color="auto" w:fill="auto"/>
            <w:noWrap/>
            <w:vAlign w:val="center"/>
          </w:tcPr>
          <w:p w14:paraId="115942C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570EF3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56B65E8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21531E3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57285A4D">
            <w:pPr>
              <w:keepNext w:val="0"/>
              <w:keepLines w:val="0"/>
              <w:widowControl/>
              <w:suppressLineNumbers w:val="0"/>
              <w:tabs>
                <w:tab w:val="center" w:pos="780"/>
                <w:tab w:val="right" w:pos="1440"/>
              </w:tabs>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156.8</w:t>
            </w:r>
          </w:p>
        </w:tc>
      </w:tr>
      <w:tr w14:paraId="2F9736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50FB3B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888" w:type="dxa"/>
            <w:vMerge w:val="continue"/>
            <w:tcBorders>
              <w:tl2br w:val="nil"/>
              <w:tr2bl w:val="nil"/>
            </w:tcBorders>
            <w:shd w:val="clear" w:color="auto" w:fill="auto"/>
            <w:vAlign w:val="center"/>
          </w:tcPr>
          <w:p w14:paraId="27B3C9EA">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2D7413E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氧桥</w:t>
            </w:r>
          </w:p>
        </w:tc>
        <w:tc>
          <w:tcPr>
            <w:tcW w:w="925" w:type="dxa"/>
            <w:gridSpan w:val="2"/>
            <w:tcBorders>
              <w:tl2br w:val="nil"/>
              <w:tr2bl w:val="nil"/>
            </w:tcBorders>
            <w:shd w:val="clear" w:color="auto" w:fill="auto"/>
            <w:noWrap/>
            <w:vAlign w:val="center"/>
          </w:tcPr>
          <w:p w14:paraId="7C64C7C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38C01A3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1115422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06B4F51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6D96AF7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65</w:t>
            </w:r>
          </w:p>
        </w:tc>
      </w:tr>
      <w:tr w14:paraId="59220A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25C391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888" w:type="dxa"/>
            <w:vMerge w:val="continue"/>
            <w:tcBorders>
              <w:tl2br w:val="nil"/>
              <w:tr2bl w:val="nil"/>
            </w:tcBorders>
            <w:shd w:val="clear" w:color="auto" w:fill="auto"/>
            <w:vAlign w:val="center"/>
          </w:tcPr>
          <w:p w14:paraId="30D3AFE9">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4BFE41C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磁疗帽</w:t>
            </w:r>
          </w:p>
        </w:tc>
        <w:tc>
          <w:tcPr>
            <w:tcW w:w="925" w:type="dxa"/>
            <w:gridSpan w:val="2"/>
            <w:tcBorders>
              <w:tl2br w:val="nil"/>
              <w:tr2bl w:val="nil"/>
            </w:tcBorders>
            <w:shd w:val="clear" w:color="auto" w:fill="auto"/>
            <w:noWrap/>
            <w:vAlign w:val="center"/>
          </w:tcPr>
          <w:p w14:paraId="3538305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0A4C767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5E7895F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76C06C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7D4D440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840</w:t>
            </w:r>
          </w:p>
        </w:tc>
      </w:tr>
      <w:tr w14:paraId="0A1732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7" w:hRule="atLeast"/>
        </w:trPr>
        <w:tc>
          <w:tcPr>
            <w:tcW w:w="506" w:type="dxa"/>
            <w:tcBorders>
              <w:tl2br w:val="nil"/>
              <w:tr2bl w:val="nil"/>
            </w:tcBorders>
            <w:shd w:val="clear" w:color="auto" w:fill="auto"/>
            <w:vAlign w:val="center"/>
          </w:tcPr>
          <w:p w14:paraId="7EF2BE2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eastAsia="zh-CN"/>
              </w:rPr>
            </w:pPr>
            <w:r>
              <w:rPr>
                <w:rFonts w:hint="eastAsia" w:ascii="宋体" w:hAnsi="宋体" w:eastAsia="宋体" w:cs="宋体"/>
                <w:i w:val="0"/>
                <w:iCs w:val="0"/>
                <w:color w:val="000000"/>
                <w:kern w:val="0"/>
                <w:sz w:val="21"/>
                <w:szCs w:val="21"/>
                <w:u w:val="none"/>
                <w:lang w:val="en-US" w:eastAsia="zh-CN" w:bidi="ar"/>
              </w:rPr>
              <w:t>23</w:t>
            </w:r>
          </w:p>
        </w:tc>
        <w:tc>
          <w:tcPr>
            <w:tcW w:w="1888" w:type="dxa"/>
            <w:vMerge w:val="continue"/>
            <w:tcBorders>
              <w:tl2br w:val="nil"/>
              <w:tr2bl w:val="nil"/>
            </w:tcBorders>
            <w:shd w:val="clear" w:color="auto" w:fill="auto"/>
            <w:vAlign w:val="center"/>
          </w:tcPr>
          <w:p w14:paraId="5486D662">
            <w:pPr>
              <w:jc w:val="center"/>
              <w:rPr>
                <w:rFonts w:hint="eastAsia" w:ascii="宋体" w:hAnsi="宋体" w:eastAsia="宋体" w:cs="宋体"/>
                <w:i w:val="0"/>
                <w:iCs w:val="0"/>
                <w:color w:val="000000"/>
                <w:sz w:val="21"/>
                <w:szCs w:val="21"/>
                <w:u w:val="none"/>
                <w:lang w:eastAsia="zh-CN"/>
              </w:rPr>
            </w:pPr>
            <w:r>
              <w:rPr>
                <w:rFonts w:hint="eastAsia" w:ascii="宋体" w:hAnsi="宋体" w:eastAsia="宋体" w:cs="宋体"/>
                <w:i w:val="0"/>
                <w:iCs w:val="0"/>
                <w:color w:val="000000"/>
                <w:sz w:val="21"/>
                <w:szCs w:val="21"/>
                <w:u w:val="none"/>
                <w:lang w:eastAsia="zh-CN"/>
              </w:rPr>
              <w:t xml:space="preserve"> </w:t>
            </w:r>
          </w:p>
        </w:tc>
        <w:tc>
          <w:tcPr>
            <w:tcW w:w="2812" w:type="dxa"/>
            <w:tcBorders>
              <w:tl2br w:val="nil"/>
              <w:tr2bl w:val="nil"/>
            </w:tcBorders>
            <w:shd w:val="clear" w:color="auto" w:fill="auto"/>
            <w:noWrap/>
            <w:vAlign w:val="center"/>
          </w:tcPr>
          <w:p w14:paraId="5F21FB5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红外线接种环灭菌器加热体</w:t>
            </w:r>
          </w:p>
        </w:tc>
        <w:tc>
          <w:tcPr>
            <w:tcW w:w="925" w:type="dxa"/>
            <w:gridSpan w:val="2"/>
            <w:tcBorders>
              <w:tl2br w:val="nil"/>
              <w:tr2bl w:val="nil"/>
            </w:tcBorders>
            <w:shd w:val="clear" w:color="auto" w:fill="auto"/>
            <w:noWrap/>
            <w:vAlign w:val="center"/>
          </w:tcPr>
          <w:p w14:paraId="05A942A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6653A2C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3DF0A95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285812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598F0F6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607.6</w:t>
            </w:r>
          </w:p>
        </w:tc>
      </w:tr>
      <w:tr w14:paraId="15FAD7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141351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888" w:type="dxa"/>
            <w:vMerge w:val="continue"/>
            <w:tcBorders>
              <w:tl2br w:val="nil"/>
              <w:tr2bl w:val="nil"/>
            </w:tcBorders>
            <w:shd w:val="clear" w:color="auto" w:fill="auto"/>
            <w:vAlign w:val="center"/>
          </w:tcPr>
          <w:p w14:paraId="50F306F9">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28B3D0B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脑电图导电膏（228g）</w:t>
            </w:r>
          </w:p>
        </w:tc>
        <w:tc>
          <w:tcPr>
            <w:tcW w:w="925" w:type="dxa"/>
            <w:gridSpan w:val="2"/>
            <w:tcBorders>
              <w:tl2br w:val="nil"/>
              <w:tr2bl w:val="nil"/>
            </w:tcBorders>
            <w:shd w:val="clear" w:color="auto" w:fill="auto"/>
            <w:noWrap/>
            <w:vAlign w:val="center"/>
          </w:tcPr>
          <w:p w14:paraId="3EF2E9F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19523FC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1C0A47A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3B3661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盒</w:t>
            </w:r>
          </w:p>
        </w:tc>
        <w:tc>
          <w:tcPr>
            <w:tcW w:w="1300" w:type="dxa"/>
            <w:tcBorders>
              <w:tl2br w:val="nil"/>
              <w:tr2bl w:val="nil"/>
            </w:tcBorders>
            <w:shd w:val="clear" w:color="auto" w:fill="auto"/>
            <w:noWrap/>
            <w:vAlign w:val="center"/>
          </w:tcPr>
          <w:p w14:paraId="42B8FEE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172.3</w:t>
            </w:r>
          </w:p>
        </w:tc>
      </w:tr>
      <w:tr w14:paraId="28647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noWrap/>
            <w:vAlign w:val="center"/>
          </w:tcPr>
          <w:p w14:paraId="376D6AD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c>
          <w:tcPr>
            <w:tcW w:w="1888" w:type="dxa"/>
            <w:vMerge w:val="restart"/>
            <w:tcBorders>
              <w:tl2br w:val="nil"/>
              <w:tr2bl w:val="nil"/>
            </w:tcBorders>
            <w:shd w:val="clear" w:color="auto" w:fill="auto"/>
            <w:noWrap/>
            <w:vAlign w:val="center"/>
          </w:tcPr>
          <w:p w14:paraId="2EE5DC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医用灯泡类</w:t>
            </w:r>
          </w:p>
        </w:tc>
        <w:tc>
          <w:tcPr>
            <w:tcW w:w="2812" w:type="dxa"/>
            <w:tcBorders>
              <w:tl2br w:val="nil"/>
              <w:tr2bl w:val="nil"/>
            </w:tcBorders>
            <w:shd w:val="clear" w:color="auto" w:fill="auto"/>
            <w:noWrap/>
            <w:vAlign w:val="center"/>
          </w:tcPr>
          <w:p w14:paraId="377869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红光治疗仪灯泡100w</w:t>
            </w:r>
          </w:p>
        </w:tc>
        <w:tc>
          <w:tcPr>
            <w:tcW w:w="925" w:type="dxa"/>
            <w:gridSpan w:val="2"/>
            <w:tcBorders>
              <w:tl2br w:val="nil"/>
              <w:tr2bl w:val="nil"/>
            </w:tcBorders>
            <w:shd w:val="clear" w:color="auto" w:fill="auto"/>
            <w:noWrap/>
            <w:vAlign w:val="center"/>
          </w:tcPr>
          <w:p w14:paraId="7B84D96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D0B633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7423749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6C5AEB4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674361B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56.8</w:t>
            </w:r>
          </w:p>
        </w:tc>
      </w:tr>
      <w:tr w14:paraId="4D8FD0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7" w:hRule="atLeast"/>
        </w:trPr>
        <w:tc>
          <w:tcPr>
            <w:tcW w:w="506" w:type="dxa"/>
            <w:tcBorders>
              <w:tl2br w:val="nil"/>
              <w:tr2bl w:val="nil"/>
            </w:tcBorders>
            <w:shd w:val="clear" w:color="auto" w:fill="auto"/>
            <w:noWrap/>
            <w:vAlign w:val="center"/>
          </w:tcPr>
          <w:p w14:paraId="181803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888" w:type="dxa"/>
            <w:vMerge w:val="continue"/>
            <w:tcBorders>
              <w:tl2br w:val="nil"/>
              <w:tr2bl w:val="nil"/>
            </w:tcBorders>
            <w:shd w:val="clear" w:color="auto" w:fill="auto"/>
            <w:noWrap/>
            <w:vAlign w:val="center"/>
          </w:tcPr>
          <w:p w14:paraId="794976D7">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4C2201D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无影灯泡24v150w</w:t>
            </w:r>
          </w:p>
        </w:tc>
        <w:tc>
          <w:tcPr>
            <w:tcW w:w="925" w:type="dxa"/>
            <w:gridSpan w:val="2"/>
            <w:tcBorders>
              <w:tl2br w:val="nil"/>
              <w:tr2bl w:val="nil"/>
            </w:tcBorders>
            <w:shd w:val="clear" w:color="auto" w:fill="auto"/>
            <w:noWrap/>
            <w:vAlign w:val="center"/>
          </w:tcPr>
          <w:p w14:paraId="683D42C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131453E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17F13C1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78ACF4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1D095A8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44.1</w:t>
            </w:r>
          </w:p>
        </w:tc>
      </w:tr>
      <w:tr w14:paraId="382307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noWrap/>
            <w:vAlign w:val="center"/>
          </w:tcPr>
          <w:p w14:paraId="011599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888" w:type="dxa"/>
            <w:vMerge w:val="continue"/>
            <w:tcBorders>
              <w:tl2br w:val="nil"/>
              <w:tr2bl w:val="nil"/>
            </w:tcBorders>
            <w:shd w:val="clear" w:color="auto" w:fill="auto"/>
            <w:noWrap/>
            <w:vAlign w:val="center"/>
          </w:tcPr>
          <w:p w14:paraId="6EC98455">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46C42FD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带座米泡6v20w</w:t>
            </w:r>
          </w:p>
        </w:tc>
        <w:tc>
          <w:tcPr>
            <w:tcW w:w="925" w:type="dxa"/>
            <w:gridSpan w:val="2"/>
            <w:tcBorders>
              <w:tl2br w:val="nil"/>
              <w:tr2bl w:val="nil"/>
            </w:tcBorders>
            <w:shd w:val="clear" w:color="auto" w:fill="auto"/>
            <w:noWrap/>
            <w:vAlign w:val="center"/>
          </w:tcPr>
          <w:p w14:paraId="408F2C4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6F289F1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348CE52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2F9BC6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31E4023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98.6</w:t>
            </w:r>
          </w:p>
        </w:tc>
      </w:tr>
      <w:tr w14:paraId="08F23B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noWrap/>
            <w:vAlign w:val="center"/>
          </w:tcPr>
          <w:p w14:paraId="420B25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888" w:type="dxa"/>
            <w:vMerge w:val="continue"/>
            <w:tcBorders>
              <w:tl2br w:val="nil"/>
              <w:tr2bl w:val="nil"/>
            </w:tcBorders>
            <w:shd w:val="clear" w:color="auto" w:fill="auto"/>
            <w:noWrap/>
            <w:vAlign w:val="center"/>
          </w:tcPr>
          <w:p w14:paraId="1B0D4999">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71959A8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杯泡12v100w</w:t>
            </w:r>
          </w:p>
        </w:tc>
        <w:tc>
          <w:tcPr>
            <w:tcW w:w="925" w:type="dxa"/>
            <w:gridSpan w:val="2"/>
            <w:tcBorders>
              <w:tl2br w:val="nil"/>
              <w:tr2bl w:val="nil"/>
            </w:tcBorders>
            <w:shd w:val="clear" w:color="auto" w:fill="auto"/>
            <w:noWrap/>
            <w:vAlign w:val="center"/>
          </w:tcPr>
          <w:p w14:paraId="1DCCC03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278FF9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4A438A3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1A7A0A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5455CB4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63.7</w:t>
            </w:r>
          </w:p>
        </w:tc>
      </w:tr>
      <w:tr w14:paraId="19657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noWrap/>
            <w:vAlign w:val="center"/>
          </w:tcPr>
          <w:p w14:paraId="6C6AD8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888" w:type="dxa"/>
            <w:vMerge w:val="continue"/>
            <w:tcBorders>
              <w:tl2br w:val="nil"/>
              <w:tr2bl w:val="nil"/>
            </w:tcBorders>
            <w:shd w:val="clear" w:color="auto" w:fill="auto"/>
            <w:noWrap/>
            <w:vAlign w:val="center"/>
          </w:tcPr>
          <w:p w14:paraId="6ADD5EBA">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4B0A67B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杯泡15v150w</w:t>
            </w:r>
          </w:p>
        </w:tc>
        <w:tc>
          <w:tcPr>
            <w:tcW w:w="925" w:type="dxa"/>
            <w:gridSpan w:val="2"/>
            <w:tcBorders>
              <w:tl2br w:val="nil"/>
              <w:tr2bl w:val="nil"/>
            </w:tcBorders>
            <w:shd w:val="clear" w:color="auto" w:fill="auto"/>
            <w:noWrap/>
            <w:vAlign w:val="center"/>
          </w:tcPr>
          <w:p w14:paraId="2F73B2E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2BA8681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004391E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48A3CA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0EB2E8C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62.5</w:t>
            </w:r>
          </w:p>
        </w:tc>
      </w:tr>
      <w:tr w14:paraId="697DDD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noWrap/>
            <w:vAlign w:val="center"/>
          </w:tcPr>
          <w:p w14:paraId="4E54D1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888" w:type="dxa"/>
            <w:vMerge w:val="continue"/>
            <w:tcBorders>
              <w:tl2br w:val="nil"/>
              <w:tr2bl w:val="nil"/>
            </w:tcBorders>
            <w:shd w:val="clear" w:color="auto" w:fill="auto"/>
            <w:noWrap/>
            <w:vAlign w:val="center"/>
          </w:tcPr>
          <w:p w14:paraId="790F0BB9">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1B0BDE3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米泡6v30w</w:t>
            </w:r>
          </w:p>
        </w:tc>
        <w:tc>
          <w:tcPr>
            <w:tcW w:w="925" w:type="dxa"/>
            <w:gridSpan w:val="2"/>
            <w:tcBorders>
              <w:tl2br w:val="nil"/>
              <w:tr2bl w:val="nil"/>
            </w:tcBorders>
            <w:shd w:val="clear" w:color="auto" w:fill="auto"/>
            <w:noWrap/>
            <w:vAlign w:val="center"/>
          </w:tcPr>
          <w:p w14:paraId="45C5A3B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3975D6D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2D4B35C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457E59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4EFD5A1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47.7</w:t>
            </w:r>
          </w:p>
        </w:tc>
      </w:tr>
      <w:tr w14:paraId="5CBA09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noWrap/>
            <w:vAlign w:val="center"/>
          </w:tcPr>
          <w:p w14:paraId="1D75DB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888" w:type="dxa"/>
            <w:vMerge w:val="continue"/>
            <w:tcBorders>
              <w:tl2br w:val="nil"/>
              <w:tr2bl w:val="nil"/>
            </w:tcBorders>
            <w:shd w:val="clear" w:color="auto" w:fill="auto"/>
            <w:noWrap/>
            <w:vAlign w:val="center"/>
          </w:tcPr>
          <w:p w14:paraId="45134969">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621CE3D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无影灯泡24v25w</w:t>
            </w:r>
          </w:p>
        </w:tc>
        <w:tc>
          <w:tcPr>
            <w:tcW w:w="925" w:type="dxa"/>
            <w:gridSpan w:val="2"/>
            <w:tcBorders>
              <w:tl2br w:val="nil"/>
              <w:tr2bl w:val="nil"/>
            </w:tcBorders>
            <w:shd w:val="clear" w:color="auto" w:fill="auto"/>
            <w:noWrap/>
            <w:vAlign w:val="center"/>
          </w:tcPr>
          <w:p w14:paraId="4BC704C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5C099A6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0FB90E6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5AD8FB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FFFFFF"/>
            <w:noWrap/>
            <w:vAlign w:val="center"/>
          </w:tcPr>
          <w:p w14:paraId="03C8B346">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4.12</w:t>
            </w:r>
          </w:p>
        </w:tc>
      </w:tr>
      <w:tr w14:paraId="2EBBB7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875" w:type="dxa"/>
            <w:gridSpan w:val="9"/>
            <w:tcBorders>
              <w:tl2br w:val="nil"/>
              <w:tr2bl w:val="nil"/>
            </w:tcBorders>
            <w:shd w:val="clear" w:color="auto" w:fill="auto"/>
            <w:noWrap/>
            <w:vAlign w:val="center"/>
          </w:tcPr>
          <w:p w14:paraId="17B9F18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以上规格型号为“/”的根据医院实际需求进行供货。</w:t>
            </w:r>
          </w:p>
        </w:tc>
      </w:tr>
    </w:tbl>
    <w:p w14:paraId="3FDC4607">
      <w:pPr>
        <w:widowControl/>
        <w:snapToGrid w:val="0"/>
        <w:spacing w:line="440" w:lineRule="exact"/>
        <w:jc w:val="left"/>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注：</w:t>
      </w:r>
    </w:p>
    <w:p w14:paraId="2FFAC7F7">
      <w:pPr>
        <w:widowControl/>
        <w:snapToGrid w:val="0"/>
        <w:spacing w:line="440" w:lineRule="exact"/>
        <w:ind w:firstLine="420" w:firstLineChars="200"/>
        <w:jc w:val="left"/>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kern w:val="0"/>
          <w:sz w:val="21"/>
          <w:szCs w:val="21"/>
          <w:highlight w:val="none"/>
          <w:lang w:val="en-US" w:eastAsia="zh-CN"/>
        </w:rPr>
        <w:t>供应商投标报价以采购文件第二章采购需求</w:t>
      </w:r>
      <w:r>
        <w:rPr>
          <w:rFonts w:hint="eastAsia" w:ascii="宋体" w:hAnsi="宋体" w:cs="宋体"/>
          <w:b w:val="0"/>
          <w:bCs w:val="0"/>
          <w:color w:val="auto"/>
          <w:kern w:val="0"/>
          <w:sz w:val="21"/>
          <w:szCs w:val="21"/>
          <w:highlight w:val="none"/>
          <w:lang w:val="en-US" w:eastAsia="zh-CN"/>
        </w:rPr>
        <w:t>采购</w:t>
      </w:r>
      <w:r>
        <w:rPr>
          <w:rFonts w:hint="eastAsia" w:ascii="宋体" w:hAnsi="宋体" w:eastAsia="宋体" w:cs="宋体"/>
          <w:b w:val="0"/>
          <w:bCs w:val="0"/>
          <w:color w:val="auto"/>
          <w:kern w:val="0"/>
          <w:sz w:val="21"/>
          <w:szCs w:val="21"/>
          <w:highlight w:val="none"/>
          <w:lang w:val="en-US" w:eastAsia="zh-CN"/>
        </w:rPr>
        <w:t>清单综合单价控制价为基准价格，整体报出综合折扣率。供应商所报综合折扣率不得大于100%，否则将被作为无效响应；</w:t>
      </w:r>
    </w:p>
    <w:p w14:paraId="0AEC3BD8">
      <w:pPr>
        <w:numPr>
          <w:ilvl w:val="0"/>
          <w:numId w:val="0"/>
        </w:numPr>
        <w:spacing w:line="490" w:lineRule="exact"/>
        <w:ind w:firstLine="420" w:firstLineChars="200"/>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合同价格计算方法：各单项产品合同价格=采购清单对应的综合单价控制价价格×综合折扣率。举例如：综合折扣率报价为90％，清单序号1“监护仪袖带”单价控制价格为27元，则其合同价格为27元×90％=24.30元（四舍五入保留两位小数），以此类推。</w:t>
      </w:r>
    </w:p>
    <w:p w14:paraId="324EE5D2">
      <w:pPr>
        <w:pageBreakBefore w:val="0"/>
        <w:widowControl/>
        <w:wordWrap/>
        <w:overflowPunct/>
        <w:topLinePunct w:val="0"/>
        <w:bidi w:val="0"/>
        <w:spacing w:line="360" w:lineRule="auto"/>
        <w:ind w:firstLine="420" w:firstLineChars="200"/>
        <w:textAlignment w:val="baseline"/>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eastAsia="zh-CN"/>
        </w:rPr>
        <w:t>供应商的报价为交货地点交货价格，包括货物、运费及保险费、运杂费、伴随的其他服务费及其他所有费用的总和；</w:t>
      </w:r>
      <w:r>
        <w:rPr>
          <w:rFonts w:hint="eastAsia" w:ascii="宋体" w:hAnsi="宋体" w:eastAsia="宋体" w:cs="宋体"/>
          <w:b w:val="0"/>
          <w:bCs w:val="0"/>
          <w:color w:val="auto"/>
          <w:sz w:val="21"/>
          <w:szCs w:val="21"/>
          <w:highlight w:val="none"/>
          <w:lang w:val="en-US" w:eastAsia="zh-CN"/>
        </w:rPr>
        <w:t>供货期限内医院不再承担任何其他费用</w:t>
      </w: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应充分考虑合同履行期限内可能产生的物价变化、政策调整、市场经营风险等多种因素，慎重报价。</w:t>
      </w:r>
    </w:p>
    <w:p w14:paraId="11E6CBAB">
      <w:pPr>
        <w:pageBreakBefore w:val="0"/>
        <w:widowControl/>
        <w:wordWrap/>
        <w:overflowPunct/>
        <w:topLinePunct w:val="0"/>
        <w:bidi w:val="0"/>
        <w:spacing w:line="360" w:lineRule="auto"/>
        <w:ind w:firstLine="420" w:firstLineChars="200"/>
        <w:textAlignment w:val="baseline"/>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lang w:eastAsia="zh-CN"/>
        </w:rPr>
        <w:t>应根据</w:t>
      </w:r>
      <w:r>
        <w:rPr>
          <w:rFonts w:hint="eastAsia" w:ascii="宋体" w:hAnsi="宋体" w:eastAsia="宋体" w:cs="宋体"/>
          <w:color w:val="auto"/>
          <w:sz w:val="21"/>
          <w:szCs w:val="21"/>
          <w:highlight w:val="none"/>
          <w:lang w:val="en-US" w:eastAsia="zh-CN"/>
        </w:rPr>
        <w:t>以上</w:t>
      </w:r>
      <w:r>
        <w:rPr>
          <w:rFonts w:hint="eastAsia" w:ascii="宋体" w:hAnsi="宋体" w:eastAsia="宋体" w:cs="宋体"/>
          <w:color w:val="auto"/>
          <w:sz w:val="21"/>
          <w:szCs w:val="21"/>
          <w:highlight w:val="none"/>
        </w:rPr>
        <w:t>格式填列</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品牌</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规格</w:t>
      </w:r>
      <w:r>
        <w:rPr>
          <w:rFonts w:hint="eastAsia" w:ascii="宋体" w:hAnsi="宋体" w:eastAsia="宋体" w:cs="宋体"/>
          <w:color w:val="auto"/>
          <w:sz w:val="21"/>
          <w:szCs w:val="21"/>
          <w:highlight w:val="none"/>
          <w:lang w:eastAsia="zh-CN"/>
        </w:rPr>
        <w:t>”相关内容</w:t>
      </w:r>
      <w:r>
        <w:rPr>
          <w:rFonts w:hint="eastAsia" w:ascii="宋体" w:hAnsi="宋体" w:eastAsia="宋体" w:cs="宋体"/>
          <w:color w:val="auto"/>
          <w:sz w:val="21"/>
          <w:szCs w:val="21"/>
          <w:highlight w:val="none"/>
        </w:rPr>
        <w:t>，不得自行更改。否则引起的不利后果由供应商承担。</w:t>
      </w:r>
    </w:p>
    <w:p w14:paraId="48F290DC">
      <w:pPr>
        <w:pStyle w:val="32"/>
        <w:ind w:firstLine="3990" w:firstLineChars="1900"/>
        <w:rPr>
          <w:rFonts w:hint="eastAsia" w:ascii="宋体" w:hAnsi="宋体" w:eastAsia="宋体" w:cs="宋体"/>
          <w:color w:val="auto"/>
          <w:sz w:val="21"/>
          <w:szCs w:val="21"/>
          <w:highlight w:val="none"/>
          <w:lang w:eastAsia="zh-CN"/>
        </w:rPr>
      </w:pPr>
    </w:p>
    <w:p w14:paraId="3C53A5A9">
      <w:pPr>
        <w:pStyle w:val="32"/>
        <w:ind w:firstLine="3990" w:firstLineChars="19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（全称并加盖公章）：</w:t>
      </w:r>
    </w:p>
    <w:p w14:paraId="343B3390">
      <w:pPr>
        <w:widowControl/>
        <w:shd w:val="clear" w:color="auto" w:fill="FFFFFF"/>
        <w:spacing w:line="360" w:lineRule="auto"/>
        <w:ind w:left="1480" w:leftChars="705" w:firstLine="1524" w:firstLineChars="726"/>
        <w:jc w:val="both"/>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法定代表人或委托代理人（签字</w:t>
      </w:r>
      <w:r>
        <w:rPr>
          <w:rFonts w:hint="eastAsia" w:ascii="宋体" w:hAnsi="宋体" w:eastAsia="宋体" w:cs="宋体"/>
          <w:color w:val="auto"/>
          <w:kern w:val="0"/>
          <w:sz w:val="21"/>
          <w:szCs w:val="21"/>
          <w:highlight w:val="none"/>
          <w:lang w:val="en-US" w:eastAsia="zh-CN"/>
        </w:rPr>
        <w:t>或盖章</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u w:val="single"/>
        </w:rPr>
        <w:t xml:space="preserve">           </w:t>
      </w:r>
    </w:p>
    <w:p w14:paraId="3603295E">
      <w:pPr>
        <w:widowControl/>
        <w:wordWrap w:val="0"/>
        <w:spacing w:line="460" w:lineRule="exact"/>
        <w:ind w:firstLine="4410" w:firstLineChars="21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年    月    日</w:t>
      </w:r>
    </w:p>
    <w:p w14:paraId="220BA8D1">
      <w:pPr>
        <w:widowControl/>
        <w:wordWrap w:val="0"/>
        <w:spacing w:line="460" w:lineRule="exact"/>
        <w:ind w:firstLine="4800" w:firstLineChars="2000"/>
        <w:jc w:val="left"/>
        <w:rPr>
          <w:rFonts w:hint="eastAsia" w:ascii="宋体" w:hAnsi="宋体" w:eastAsia="宋体" w:cs="宋体"/>
          <w:color w:val="auto"/>
          <w:sz w:val="28"/>
          <w:szCs w:val="28"/>
          <w:highlight w:val="none"/>
          <w:lang w:val="en-US" w:eastAsia="zh-CN"/>
        </w:rPr>
      </w:pPr>
      <w:r>
        <w:rPr>
          <w:rFonts w:hint="eastAsia" w:ascii="宋体" w:hAnsi="宋体" w:eastAsia="宋体" w:cs="宋体"/>
          <w:color w:val="auto"/>
          <w:kern w:val="0"/>
          <w:sz w:val="24"/>
          <w:highlight w:val="none"/>
        </w:rPr>
        <w:t xml:space="preserve">     </w:t>
      </w:r>
    </w:p>
    <w:p w14:paraId="50CE31F5">
      <w:pPr>
        <w:pStyle w:val="23"/>
        <w:rPr>
          <w:rFonts w:hint="eastAsia" w:ascii="宋体" w:hAnsi="宋体" w:eastAsia="宋体" w:cs="宋体"/>
          <w:color w:val="auto"/>
          <w:kern w:val="0"/>
          <w:sz w:val="24"/>
          <w:highlight w:val="none"/>
        </w:rPr>
        <w:sectPr>
          <w:footerReference r:id="rId5" w:type="default"/>
          <w:pgSz w:w="11906" w:h="16838"/>
          <w:pgMar w:top="1417" w:right="1474" w:bottom="1417" w:left="1474" w:header="851" w:footer="624" w:gutter="0"/>
          <w:pgBorders>
            <w:top w:val="none" w:sz="0" w:space="0"/>
            <w:left w:val="none" w:sz="0" w:space="0"/>
            <w:bottom w:val="none" w:sz="0" w:space="0"/>
            <w:right w:val="none" w:sz="0" w:space="0"/>
          </w:pgBorders>
          <w:pgNumType w:fmt="decimal"/>
          <w:cols w:space="720" w:num="1"/>
          <w:docGrid w:type="lines" w:linePitch="319" w:charSpace="0"/>
        </w:sectPr>
      </w:pPr>
    </w:p>
    <w:p w14:paraId="568848E2">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0" w:name="_Toc226"/>
      <w:bookmarkStart w:id="81" w:name="_Toc15804"/>
      <w:r>
        <w:rPr>
          <w:rFonts w:hint="eastAsia" w:ascii="宋体" w:hAnsi="宋体" w:eastAsia="宋体" w:cs="宋体"/>
          <w:color w:val="auto"/>
          <w:sz w:val="28"/>
          <w:szCs w:val="28"/>
          <w:highlight w:val="none"/>
          <w:lang w:val="en-US" w:eastAsia="zh-CN"/>
        </w:rPr>
        <w:t xml:space="preserve">附件5         </w:t>
      </w:r>
      <w:bookmarkEnd w:id="80"/>
      <w:bookmarkEnd w:id="81"/>
      <w:r>
        <w:rPr>
          <w:rFonts w:hint="eastAsia" w:ascii="宋体" w:hAnsi="宋体" w:eastAsia="宋体" w:cs="宋体"/>
          <w:color w:val="auto"/>
          <w:sz w:val="28"/>
          <w:szCs w:val="28"/>
          <w:highlight w:val="none"/>
          <w:lang w:val="en-US" w:eastAsia="zh-CN"/>
        </w:rPr>
        <w:t xml:space="preserve">  技术响应表（格式）</w:t>
      </w:r>
    </w:p>
    <w:tbl>
      <w:tblPr>
        <w:tblStyle w:val="90"/>
        <w:tblW w:w="907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833"/>
        <w:gridCol w:w="2625"/>
        <w:gridCol w:w="2379"/>
        <w:gridCol w:w="1468"/>
      </w:tblGrid>
      <w:tr w14:paraId="0D3619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4" w:hRule="atLeast"/>
        </w:trPr>
        <w:tc>
          <w:tcPr>
            <w:tcW w:w="772" w:type="dxa"/>
            <w:noWrap w:val="0"/>
            <w:vAlign w:val="center"/>
          </w:tcPr>
          <w:p w14:paraId="6640C70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833" w:type="dxa"/>
            <w:noWrap w:val="0"/>
            <w:vAlign w:val="center"/>
          </w:tcPr>
          <w:p w14:paraId="2D72A28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名称</w:t>
            </w:r>
          </w:p>
        </w:tc>
        <w:tc>
          <w:tcPr>
            <w:tcW w:w="2625" w:type="dxa"/>
            <w:noWrap w:val="0"/>
            <w:vAlign w:val="center"/>
          </w:tcPr>
          <w:p w14:paraId="2CADDFB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文件要求</w:t>
            </w:r>
          </w:p>
        </w:tc>
        <w:tc>
          <w:tcPr>
            <w:tcW w:w="2379" w:type="dxa"/>
            <w:noWrap w:val="0"/>
            <w:vAlign w:val="center"/>
          </w:tcPr>
          <w:p w14:paraId="64D1EF6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文件响应</w:t>
            </w:r>
          </w:p>
        </w:tc>
        <w:tc>
          <w:tcPr>
            <w:tcW w:w="1468" w:type="dxa"/>
            <w:noWrap w:val="0"/>
            <w:vAlign w:val="center"/>
          </w:tcPr>
          <w:p w14:paraId="0239E58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偏离情况</w:t>
            </w:r>
          </w:p>
        </w:tc>
      </w:tr>
      <w:tr w14:paraId="2D4D93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14:paraId="7EAE5FC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33" w:type="dxa"/>
            <w:noWrap w:val="0"/>
            <w:vAlign w:val="center"/>
          </w:tcPr>
          <w:p w14:paraId="4533500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4AECB74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6308173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0321D34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548DA0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14:paraId="6320EBC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33" w:type="dxa"/>
            <w:noWrap w:val="0"/>
            <w:vAlign w:val="center"/>
          </w:tcPr>
          <w:p w14:paraId="61E0DE6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6D2286C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3F06F6D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76A6988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51E54C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14:paraId="6191A7F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1833" w:type="dxa"/>
            <w:noWrap w:val="0"/>
            <w:vAlign w:val="center"/>
          </w:tcPr>
          <w:p w14:paraId="25917D6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3C39ED8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1873EC3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6F8C606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bl>
    <w:p w14:paraId="42FF9128">
      <w:pPr>
        <w:widowControl/>
        <w:wordWrap w:val="0"/>
        <w:spacing w:line="460" w:lineRule="exact"/>
        <w:ind w:firstLine="422" w:firstLineChars="200"/>
        <w:jc w:val="left"/>
        <w:rPr>
          <w:rFonts w:hint="eastAsia" w:ascii="宋体" w:hAnsi="宋体" w:eastAsia="宋体" w:cs="宋体"/>
          <w:b/>
          <w:color w:val="auto"/>
          <w:kern w:val="0"/>
          <w:sz w:val="21"/>
          <w:szCs w:val="21"/>
          <w:highlight w:val="none"/>
          <w:lang w:val="en-US" w:eastAsia="zh-CN"/>
        </w:rPr>
      </w:pPr>
    </w:p>
    <w:p w14:paraId="6CF19DC9">
      <w:pPr>
        <w:pageBreakBefore w:val="0"/>
        <w:widowControl/>
        <w:wordWrap/>
        <w:overflowPunct/>
        <w:topLinePunct w:val="0"/>
        <w:bidi w:val="0"/>
        <w:spacing w:line="36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注：供应商必须如实完整填写表格，“偏离情况”是指“正偏离”、“负偏离”或“无偏离”。</w:t>
      </w:r>
    </w:p>
    <w:p w14:paraId="75C7CAD4">
      <w:pPr>
        <w:pageBreakBefore w:val="0"/>
        <w:widowControl/>
        <w:wordWrap/>
        <w:overflowPunct/>
        <w:topLinePunct w:val="0"/>
        <w:bidi w:val="0"/>
        <w:spacing w:line="360" w:lineRule="auto"/>
        <w:textAlignment w:val="baseline"/>
        <w:rPr>
          <w:rFonts w:hint="eastAsia" w:ascii="宋体" w:hAnsi="宋体" w:eastAsia="宋体" w:cs="宋体"/>
          <w:color w:val="auto"/>
          <w:sz w:val="21"/>
          <w:szCs w:val="21"/>
          <w:highlight w:val="none"/>
        </w:rPr>
      </w:pPr>
    </w:p>
    <w:p w14:paraId="253A2AFC">
      <w:pPr>
        <w:pageBreakBefore w:val="0"/>
        <w:widowControl/>
        <w:wordWrap/>
        <w:overflowPunct/>
        <w:topLinePunct w:val="0"/>
        <w:bidi w:val="0"/>
        <w:spacing w:line="36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379247D3">
      <w:pPr>
        <w:pageBreakBefore w:val="0"/>
        <w:widowControl/>
        <w:wordWrap/>
        <w:overflowPunct/>
        <w:topLinePunct w:val="0"/>
        <w:bidi w:val="0"/>
        <w:spacing w:line="360" w:lineRule="auto"/>
        <w:ind w:firstLine="2100" w:firstLineChars="10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（全称并加盖公章）</w:t>
      </w:r>
    </w:p>
    <w:p w14:paraId="2C0005D5">
      <w:pPr>
        <w:widowControl/>
        <w:wordWrap w:val="0"/>
        <w:spacing w:line="460" w:lineRule="exact"/>
        <w:ind w:firstLine="3570" w:firstLineChars="1700"/>
        <w:jc w:val="left"/>
        <w:rPr>
          <w:rFonts w:hint="eastAsia" w:ascii="宋体" w:hAnsi="宋体" w:eastAsia="宋体" w:cs="宋体"/>
          <w:b/>
          <w:color w:val="auto"/>
          <w:kern w:val="0"/>
          <w:sz w:val="32"/>
          <w:szCs w:val="32"/>
          <w:highlight w:val="none"/>
          <w:lang w:val="en-US" w:eastAsia="zh-CN"/>
        </w:rPr>
      </w:pPr>
      <w:r>
        <w:rPr>
          <w:rFonts w:hint="eastAsia" w:ascii="宋体" w:hAnsi="宋体" w:eastAsia="宋体" w:cs="宋体"/>
          <w:color w:val="auto"/>
          <w:sz w:val="21"/>
          <w:szCs w:val="21"/>
          <w:highlight w:val="none"/>
        </w:rPr>
        <w:t>年    月    日</w:t>
      </w:r>
    </w:p>
    <w:p w14:paraId="0E8A4B7C">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39AF219E">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543AA529">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6EFDFB9A">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26D09C0E">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679BF405">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14:paraId="0D4CA0FB">
      <w:pP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14:paraId="3C754F10">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2" w:name="_Toc20420"/>
      <w:bookmarkStart w:id="83" w:name="_Toc24168"/>
      <w:bookmarkStart w:id="84" w:name="_Toc29960"/>
      <w:r>
        <w:rPr>
          <w:rFonts w:hint="eastAsia" w:ascii="宋体" w:hAnsi="宋体" w:eastAsia="宋体" w:cs="宋体"/>
          <w:color w:val="auto"/>
          <w:sz w:val="28"/>
          <w:szCs w:val="28"/>
          <w:highlight w:val="none"/>
          <w:lang w:val="en-US" w:eastAsia="zh-CN"/>
        </w:rPr>
        <w:t>附件6            商务响应</w:t>
      </w:r>
      <w:bookmarkEnd w:id="82"/>
      <w:bookmarkEnd w:id="83"/>
      <w:bookmarkEnd w:id="84"/>
      <w:r>
        <w:rPr>
          <w:rFonts w:hint="eastAsia" w:ascii="宋体" w:hAnsi="宋体" w:eastAsia="宋体" w:cs="宋体"/>
          <w:color w:val="auto"/>
          <w:sz w:val="28"/>
          <w:szCs w:val="28"/>
          <w:highlight w:val="none"/>
          <w:lang w:val="en-US" w:eastAsia="zh-CN"/>
        </w:rPr>
        <w:t>表（格式）</w:t>
      </w:r>
    </w:p>
    <w:p w14:paraId="6D8CC24E">
      <w:pPr>
        <w:widowControl/>
        <w:wordWrap w:val="0"/>
        <w:spacing w:line="460" w:lineRule="exact"/>
        <w:jc w:val="left"/>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 xml:space="preserve">  </w:t>
      </w:r>
    </w:p>
    <w:tbl>
      <w:tblPr>
        <w:tblStyle w:val="90"/>
        <w:tblW w:w="9037"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13"/>
        <w:gridCol w:w="1328"/>
        <w:gridCol w:w="2055"/>
        <w:gridCol w:w="2025"/>
        <w:gridCol w:w="1620"/>
        <w:gridCol w:w="1196"/>
      </w:tblGrid>
      <w:tr w14:paraId="77FD3E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813" w:type="dxa"/>
            <w:noWrap w:val="0"/>
            <w:vAlign w:val="center"/>
          </w:tcPr>
          <w:p w14:paraId="4D3BB038">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序号</w:t>
            </w:r>
          </w:p>
        </w:tc>
        <w:tc>
          <w:tcPr>
            <w:tcW w:w="1328" w:type="dxa"/>
            <w:noWrap w:val="0"/>
            <w:vAlign w:val="center"/>
          </w:tcPr>
          <w:p w14:paraId="2F7728F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名称</w:t>
            </w:r>
          </w:p>
        </w:tc>
        <w:tc>
          <w:tcPr>
            <w:tcW w:w="2055" w:type="dxa"/>
            <w:noWrap w:val="0"/>
            <w:vAlign w:val="center"/>
          </w:tcPr>
          <w:p w14:paraId="6986079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000000" w:themeColor="text1"/>
                <w:sz w:val="21"/>
                <w:szCs w:val="21"/>
                <w:highlight w:val="none"/>
                <w:lang w:eastAsia="zh-CN"/>
                <w14:textFill>
                  <w14:solidFill>
                    <w14:schemeClr w14:val="tx1"/>
                  </w14:solidFill>
                </w14:textFill>
              </w:rPr>
              <w:t>采购</w:t>
            </w:r>
            <w:r>
              <w:rPr>
                <w:rFonts w:hint="eastAsia" w:ascii="宋体" w:hAnsi="宋体" w:eastAsia="宋体" w:cs="宋体"/>
                <w:color w:val="000000" w:themeColor="text1"/>
                <w:sz w:val="21"/>
                <w:szCs w:val="21"/>
                <w:highlight w:val="none"/>
                <w14:textFill>
                  <w14:solidFill>
                    <w14:schemeClr w14:val="tx1"/>
                  </w14:solidFill>
                </w14:textFill>
              </w:rPr>
              <w:t>文件要求</w:t>
            </w:r>
          </w:p>
        </w:tc>
        <w:tc>
          <w:tcPr>
            <w:tcW w:w="2025" w:type="dxa"/>
            <w:noWrap w:val="0"/>
            <w:vAlign w:val="center"/>
          </w:tcPr>
          <w:p w14:paraId="57F62E4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响应</w:t>
            </w:r>
            <w:r>
              <w:rPr>
                <w:rFonts w:hint="eastAsia" w:ascii="宋体" w:hAnsi="宋体" w:eastAsia="宋体" w:cs="宋体"/>
                <w:color w:val="000000" w:themeColor="text1"/>
                <w:sz w:val="21"/>
                <w:szCs w:val="21"/>
                <w:highlight w:val="none"/>
                <w14:textFill>
                  <w14:solidFill>
                    <w14:schemeClr w14:val="tx1"/>
                  </w14:solidFill>
                </w14:textFill>
              </w:rPr>
              <w:t>文件响应</w:t>
            </w:r>
          </w:p>
        </w:tc>
        <w:tc>
          <w:tcPr>
            <w:tcW w:w="1620" w:type="dxa"/>
            <w:noWrap w:val="0"/>
            <w:vAlign w:val="center"/>
          </w:tcPr>
          <w:p w14:paraId="433E3ED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偏离情况</w:t>
            </w:r>
          </w:p>
        </w:tc>
        <w:tc>
          <w:tcPr>
            <w:tcW w:w="1196" w:type="dxa"/>
            <w:noWrap w:val="0"/>
            <w:vAlign w:val="center"/>
          </w:tcPr>
          <w:p w14:paraId="76FA13D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备注</w:t>
            </w:r>
          </w:p>
        </w:tc>
      </w:tr>
      <w:tr w14:paraId="67E193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813" w:type="dxa"/>
            <w:noWrap w:val="0"/>
            <w:vAlign w:val="center"/>
          </w:tcPr>
          <w:p w14:paraId="1DD3322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328" w:type="dxa"/>
            <w:noWrap w:val="0"/>
            <w:vAlign w:val="center"/>
          </w:tcPr>
          <w:p w14:paraId="7A24A9AD">
            <w:pPr>
              <w:pStyle w:val="14"/>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合同签订时间</w:t>
            </w:r>
          </w:p>
        </w:tc>
        <w:tc>
          <w:tcPr>
            <w:tcW w:w="2055" w:type="dxa"/>
            <w:noWrap w:val="0"/>
            <w:vAlign w:val="center"/>
          </w:tcPr>
          <w:p w14:paraId="493156F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025" w:type="dxa"/>
            <w:noWrap w:val="0"/>
            <w:vAlign w:val="center"/>
          </w:tcPr>
          <w:p w14:paraId="00D9296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620" w:type="dxa"/>
            <w:noWrap w:val="0"/>
            <w:vAlign w:val="center"/>
          </w:tcPr>
          <w:p w14:paraId="6A3103D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196" w:type="dxa"/>
            <w:noWrap w:val="0"/>
            <w:vAlign w:val="center"/>
          </w:tcPr>
          <w:p w14:paraId="169D8C2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394B40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813" w:type="dxa"/>
            <w:noWrap w:val="0"/>
            <w:vAlign w:val="center"/>
          </w:tcPr>
          <w:p w14:paraId="34AEC88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w:t>
            </w:r>
          </w:p>
        </w:tc>
        <w:tc>
          <w:tcPr>
            <w:tcW w:w="1328" w:type="dxa"/>
            <w:noWrap w:val="0"/>
            <w:vAlign w:val="center"/>
          </w:tcPr>
          <w:p w14:paraId="32D265A2">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交货地点</w:t>
            </w:r>
          </w:p>
        </w:tc>
        <w:tc>
          <w:tcPr>
            <w:tcW w:w="2055" w:type="dxa"/>
            <w:noWrap w:val="0"/>
            <w:vAlign w:val="center"/>
          </w:tcPr>
          <w:p w14:paraId="549C2C7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025" w:type="dxa"/>
            <w:noWrap w:val="0"/>
            <w:vAlign w:val="center"/>
          </w:tcPr>
          <w:p w14:paraId="41467CC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620" w:type="dxa"/>
            <w:noWrap w:val="0"/>
            <w:vAlign w:val="center"/>
          </w:tcPr>
          <w:p w14:paraId="7759A7A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196" w:type="dxa"/>
            <w:noWrap w:val="0"/>
            <w:vAlign w:val="center"/>
          </w:tcPr>
          <w:p w14:paraId="76BF81A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625315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813" w:type="dxa"/>
            <w:noWrap w:val="0"/>
            <w:vAlign w:val="center"/>
          </w:tcPr>
          <w:p w14:paraId="250354C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3</w:t>
            </w:r>
          </w:p>
        </w:tc>
        <w:tc>
          <w:tcPr>
            <w:tcW w:w="1328" w:type="dxa"/>
            <w:noWrap w:val="0"/>
            <w:vAlign w:val="center"/>
          </w:tcPr>
          <w:p w14:paraId="5FBC217B">
            <w:pPr>
              <w:pStyle w:val="14"/>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供货期限</w:t>
            </w:r>
          </w:p>
        </w:tc>
        <w:tc>
          <w:tcPr>
            <w:tcW w:w="2055" w:type="dxa"/>
            <w:noWrap w:val="0"/>
            <w:vAlign w:val="center"/>
          </w:tcPr>
          <w:p w14:paraId="2E1B9C1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025" w:type="dxa"/>
            <w:noWrap w:val="0"/>
            <w:vAlign w:val="center"/>
          </w:tcPr>
          <w:p w14:paraId="55EABBF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620" w:type="dxa"/>
            <w:noWrap w:val="0"/>
            <w:vAlign w:val="center"/>
          </w:tcPr>
          <w:p w14:paraId="5ABEA98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196" w:type="dxa"/>
            <w:noWrap w:val="0"/>
            <w:vAlign w:val="center"/>
          </w:tcPr>
          <w:p w14:paraId="16FACE7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3D7D41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813" w:type="dxa"/>
            <w:noWrap w:val="0"/>
            <w:vAlign w:val="center"/>
          </w:tcPr>
          <w:p w14:paraId="26E42AE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328" w:type="dxa"/>
            <w:noWrap w:val="0"/>
            <w:vAlign w:val="center"/>
          </w:tcPr>
          <w:p w14:paraId="72B55C4B">
            <w:pPr>
              <w:pStyle w:val="14"/>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质保期</w:t>
            </w:r>
          </w:p>
        </w:tc>
        <w:tc>
          <w:tcPr>
            <w:tcW w:w="2055" w:type="dxa"/>
            <w:noWrap w:val="0"/>
            <w:vAlign w:val="center"/>
          </w:tcPr>
          <w:p w14:paraId="7B7CA4D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025" w:type="dxa"/>
            <w:noWrap w:val="0"/>
            <w:vAlign w:val="center"/>
          </w:tcPr>
          <w:p w14:paraId="23BD63A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620" w:type="dxa"/>
            <w:noWrap w:val="0"/>
            <w:vAlign w:val="center"/>
          </w:tcPr>
          <w:p w14:paraId="7A6BF6A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196" w:type="dxa"/>
            <w:noWrap w:val="0"/>
            <w:vAlign w:val="center"/>
          </w:tcPr>
          <w:p w14:paraId="64AB354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0E0F50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813" w:type="dxa"/>
            <w:noWrap w:val="0"/>
            <w:vAlign w:val="center"/>
          </w:tcPr>
          <w:p w14:paraId="2F22E84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328" w:type="dxa"/>
            <w:noWrap w:val="0"/>
            <w:vAlign w:val="center"/>
          </w:tcPr>
          <w:p w14:paraId="4446CD0C">
            <w:pPr>
              <w:pStyle w:val="14"/>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质量要求</w:t>
            </w:r>
          </w:p>
        </w:tc>
        <w:tc>
          <w:tcPr>
            <w:tcW w:w="2055" w:type="dxa"/>
            <w:noWrap w:val="0"/>
            <w:vAlign w:val="center"/>
          </w:tcPr>
          <w:p w14:paraId="756D891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025" w:type="dxa"/>
            <w:noWrap w:val="0"/>
            <w:vAlign w:val="center"/>
          </w:tcPr>
          <w:p w14:paraId="1D545B8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620" w:type="dxa"/>
            <w:noWrap w:val="0"/>
            <w:vAlign w:val="center"/>
          </w:tcPr>
          <w:p w14:paraId="5B39FB7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196" w:type="dxa"/>
            <w:noWrap w:val="0"/>
            <w:vAlign w:val="center"/>
          </w:tcPr>
          <w:p w14:paraId="0AFD578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707D65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813" w:type="dxa"/>
            <w:noWrap w:val="0"/>
            <w:vAlign w:val="center"/>
          </w:tcPr>
          <w:p w14:paraId="548262D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328" w:type="dxa"/>
            <w:noWrap w:val="0"/>
            <w:vAlign w:val="center"/>
          </w:tcPr>
          <w:p w14:paraId="4AAABEAA">
            <w:pPr>
              <w:pStyle w:val="14"/>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p>
        </w:tc>
        <w:tc>
          <w:tcPr>
            <w:tcW w:w="2055" w:type="dxa"/>
            <w:noWrap w:val="0"/>
            <w:vAlign w:val="center"/>
          </w:tcPr>
          <w:p w14:paraId="5CE7866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025" w:type="dxa"/>
            <w:noWrap w:val="0"/>
            <w:vAlign w:val="center"/>
          </w:tcPr>
          <w:p w14:paraId="343B433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620" w:type="dxa"/>
            <w:noWrap w:val="0"/>
            <w:vAlign w:val="center"/>
          </w:tcPr>
          <w:p w14:paraId="1E3CDDB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196" w:type="dxa"/>
            <w:noWrap w:val="0"/>
            <w:vAlign w:val="center"/>
          </w:tcPr>
          <w:p w14:paraId="0D54F14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43AFA3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813" w:type="dxa"/>
            <w:noWrap w:val="0"/>
            <w:vAlign w:val="center"/>
          </w:tcPr>
          <w:p w14:paraId="384CF152">
            <w:pPr>
              <w:pageBreakBefore w:val="0"/>
              <w:widowControl/>
              <w:wordWrap/>
              <w:overflowPunct/>
              <w:topLinePunct w:val="0"/>
              <w:bidi w:val="0"/>
              <w:spacing w:line="360" w:lineRule="auto"/>
              <w:jc w:val="center"/>
              <w:textAlignment w:val="baseline"/>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7</w:t>
            </w:r>
          </w:p>
        </w:tc>
        <w:tc>
          <w:tcPr>
            <w:tcW w:w="1328" w:type="dxa"/>
            <w:noWrap w:val="0"/>
            <w:vAlign w:val="center"/>
          </w:tcPr>
          <w:p w14:paraId="57A07915">
            <w:pPr>
              <w:pStyle w:val="14"/>
              <w:ind w:left="0" w:leftChars="0"/>
              <w:jc w:val="center"/>
              <w:rPr>
                <w:rFonts w:hint="eastAsia" w:ascii="宋体" w:hAnsi="宋体" w:eastAsia="宋体" w:cs="宋体"/>
                <w:color w:val="auto"/>
                <w:sz w:val="21"/>
                <w:szCs w:val="21"/>
                <w:highlight w:val="none"/>
              </w:rPr>
            </w:pPr>
            <w:r>
              <w:rPr>
                <w:rFonts w:hint="eastAsia" w:cs="宋体"/>
                <w:color w:val="auto"/>
                <w:sz w:val="21"/>
                <w:szCs w:val="21"/>
                <w:highlight w:val="none"/>
                <w:lang w:eastAsia="zh-CN"/>
              </w:rPr>
              <w:t>其他要求</w:t>
            </w:r>
          </w:p>
        </w:tc>
        <w:tc>
          <w:tcPr>
            <w:tcW w:w="2055" w:type="dxa"/>
            <w:noWrap w:val="0"/>
            <w:vAlign w:val="center"/>
          </w:tcPr>
          <w:p w14:paraId="3520033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025" w:type="dxa"/>
            <w:noWrap w:val="0"/>
            <w:vAlign w:val="center"/>
          </w:tcPr>
          <w:p w14:paraId="2CB1325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620" w:type="dxa"/>
            <w:noWrap w:val="0"/>
            <w:vAlign w:val="center"/>
          </w:tcPr>
          <w:p w14:paraId="77DF2F0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196" w:type="dxa"/>
            <w:noWrap w:val="0"/>
            <w:vAlign w:val="center"/>
          </w:tcPr>
          <w:p w14:paraId="6E49D92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bl>
    <w:p w14:paraId="407043A4">
      <w:pPr>
        <w:rPr>
          <w:rFonts w:hint="eastAsia" w:ascii="宋体" w:hAnsi="宋体" w:eastAsia="宋体" w:cs="宋体"/>
          <w:b/>
          <w:color w:val="auto"/>
          <w:kern w:val="0"/>
          <w:sz w:val="21"/>
          <w:szCs w:val="21"/>
          <w:highlight w:val="none"/>
        </w:rPr>
      </w:pPr>
    </w:p>
    <w:p w14:paraId="3FD13902">
      <w:pPr>
        <w:pStyle w:val="32"/>
        <w:rPr>
          <w:rFonts w:hint="eastAsia" w:ascii="宋体" w:hAnsi="宋体" w:eastAsia="宋体" w:cs="宋体"/>
          <w:color w:val="auto"/>
          <w:sz w:val="21"/>
          <w:szCs w:val="21"/>
          <w:highlight w:val="none"/>
        </w:rPr>
      </w:pPr>
    </w:p>
    <w:p w14:paraId="0A635B83">
      <w:pPr>
        <w:pageBreakBefore w:val="0"/>
        <w:widowControl/>
        <w:wordWrap/>
        <w:overflowPunct/>
        <w:topLinePunct w:val="0"/>
        <w:bidi w:val="0"/>
        <w:spacing w:line="360" w:lineRule="auto"/>
        <w:ind w:firstLine="3360" w:firstLineChars="16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（全称并加盖公章）</w:t>
      </w:r>
    </w:p>
    <w:p w14:paraId="50A32A50">
      <w:pPr>
        <w:pageBreakBefore w:val="0"/>
        <w:widowControl/>
        <w:wordWrap/>
        <w:overflowPunct/>
        <w:topLinePunct w:val="0"/>
        <w:bidi w:val="0"/>
        <w:spacing w:line="360" w:lineRule="auto"/>
        <w:ind w:firstLine="4410" w:firstLineChars="21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1"/>
          <w:szCs w:val="21"/>
          <w:highlight w:val="none"/>
        </w:rPr>
        <w:t>年    月    日</w:t>
      </w:r>
    </w:p>
    <w:p w14:paraId="1443043E">
      <w:pPr>
        <w:outlineLvl w:val="9"/>
        <w:rPr>
          <w:rFonts w:hint="eastAsia" w:ascii="宋体" w:hAnsi="宋体" w:eastAsia="宋体" w:cs="宋体"/>
          <w:color w:val="auto"/>
          <w:highlight w:val="none"/>
        </w:rPr>
      </w:pPr>
    </w:p>
    <w:p w14:paraId="01B51371">
      <w:pPr>
        <w:outlineLvl w:val="9"/>
        <w:rPr>
          <w:rFonts w:hint="eastAsia" w:ascii="宋体" w:hAnsi="宋体" w:eastAsia="宋体" w:cs="宋体"/>
          <w:color w:val="auto"/>
          <w:highlight w:val="none"/>
        </w:rPr>
      </w:pPr>
    </w:p>
    <w:p w14:paraId="63CC00FA">
      <w:pPr>
        <w:outlineLvl w:val="9"/>
        <w:rPr>
          <w:rFonts w:hint="eastAsia" w:ascii="宋体" w:hAnsi="宋体" w:eastAsia="宋体" w:cs="宋体"/>
          <w:color w:val="auto"/>
          <w:highlight w:val="none"/>
        </w:rPr>
      </w:pPr>
    </w:p>
    <w:p w14:paraId="6CCCA408">
      <w:pPr>
        <w:outlineLvl w:val="9"/>
        <w:rPr>
          <w:rFonts w:hint="eastAsia" w:ascii="宋体" w:hAnsi="宋体" w:eastAsia="宋体" w:cs="宋体"/>
          <w:color w:val="auto"/>
          <w:highlight w:val="none"/>
        </w:rPr>
      </w:pPr>
    </w:p>
    <w:p w14:paraId="68650ED4">
      <w:pPr>
        <w:outlineLvl w:val="9"/>
        <w:rPr>
          <w:rFonts w:hint="eastAsia" w:ascii="宋体" w:hAnsi="宋体" w:eastAsia="宋体" w:cs="宋体"/>
          <w:color w:val="auto"/>
          <w:highlight w:val="none"/>
        </w:rPr>
      </w:pPr>
    </w:p>
    <w:p w14:paraId="7A7472C6">
      <w:pPr>
        <w:outlineLvl w:val="9"/>
        <w:rPr>
          <w:rFonts w:hint="eastAsia" w:ascii="宋体" w:hAnsi="宋体" w:eastAsia="宋体" w:cs="宋体"/>
          <w:color w:val="auto"/>
          <w:highlight w:val="none"/>
        </w:rPr>
      </w:pPr>
    </w:p>
    <w:p w14:paraId="602BD040">
      <w:pPr>
        <w:outlineLvl w:val="9"/>
        <w:rPr>
          <w:rFonts w:hint="eastAsia" w:ascii="宋体" w:hAnsi="宋体" w:eastAsia="宋体" w:cs="宋体"/>
          <w:color w:val="auto"/>
          <w:highlight w:val="none"/>
        </w:rPr>
      </w:pPr>
    </w:p>
    <w:p w14:paraId="28936226">
      <w:pPr>
        <w:outlineLvl w:val="9"/>
        <w:rPr>
          <w:rFonts w:hint="eastAsia" w:ascii="宋体" w:hAnsi="宋体" w:eastAsia="宋体" w:cs="宋体"/>
          <w:color w:val="auto"/>
          <w:highlight w:val="none"/>
        </w:rPr>
      </w:pPr>
    </w:p>
    <w:p w14:paraId="4E851B2D">
      <w:pPr>
        <w:outlineLvl w:val="9"/>
        <w:rPr>
          <w:rFonts w:hint="eastAsia" w:ascii="宋体" w:hAnsi="宋体" w:eastAsia="宋体" w:cs="宋体"/>
          <w:color w:val="auto"/>
          <w:highlight w:val="none"/>
        </w:rPr>
      </w:pPr>
    </w:p>
    <w:p w14:paraId="41A3FBDB">
      <w:pPr>
        <w:outlineLvl w:val="9"/>
        <w:rPr>
          <w:rFonts w:hint="eastAsia" w:ascii="宋体" w:hAnsi="宋体" w:eastAsia="宋体" w:cs="宋体"/>
          <w:color w:val="auto"/>
          <w:highlight w:val="none"/>
        </w:rPr>
      </w:pPr>
    </w:p>
    <w:p w14:paraId="40CD9C9C">
      <w:pPr>
        <w:outlineLvl w:val="9"/>
        <w:rPr>
          <w:rFonts w:hint="eastAsia" w:ascii="宋体" w:hAnsi="宋体" w:eastAsia="宋体" w:cs="宋体"/>
          <w:color w:val="auto"/>
          <w:highlight w:val="none"/>
        </w:rPr>
      </w:pPr>
    </w:p>
    <w:p w14:paraId="086CDF95">
      <w:pPr>
        <w:outlineLvl w:val="9"/>
        <w:rPr>
          <w:rFonts w:hint="eastAsia" w:ascii="宋体" w:hAnsi="宋体" w:eastAsia="宋体" w:cs="宋体"/>
          <w:color w:val="auto"/>
          <w:highlight w:val="none"/>
        </w:rPr>
      </w:pPr>
    </w:p>
    <w:p w14:paraId="4687954A">
      <w:pPr>
        <w:outlineLvl w:val="9"/>
        <w:rPr>
          <w:rFonts w:hint="eastAsia" w:ascii="宋体" w:hAnsi="宋体" w:eastAsia="宋体" w:cs="宋体"/>
          <w:color w:val="auto"/>
          <w:highlight w:val="none"/>
        </w:rPr>
      </w:pPr>
    </w:p>
    <w:p w14:paraId="14741946">
      <w:pPr>
        <w:outlineLvl w:val="9"/>
        <w:rPr>
          <w:rFonts w:hint="eastAsia" w:ascii="宋体" w:hAnsi="宋体" w:eastAsia="宋体" w:cs="宋体"/>
          <w:color w:val="auto"/>
          <w:highlight w:val="none"/>
        </w:rPr>
      </w:pPr>
    </w:p>
    <w:p w14:paraId="5FAC0DBC">
      <w:pPr>
        <w:outlineLvl w:val="9"/>
        <w:rPr>
          <w:rFonts w:hint="eastAsia" w:ascii="宋体" w:hAnsi="宋体" w:eastAsia="宋体" w:cs="宋体"/>
          <w:color w:val="auto"/>
          <w:highlight w:val="none"/>
        </w:rPr>
      </w:pPr>
    </w:p>
    <w:p w14:paraId="4006A082">
      <w:pPr>
        <w:rPr>
          <w:rFonts w:hint="eastAsia" w:ascii="宋体" w:hAnsi="宋体" w:eastAsia="宋体" w:cs="宋体"/>
          <w:b/>
          <w:color w:val="auto"/>
          <w:sz w:val="28"/>
          <w:highlight w:val="none"/>
        </w:rPr>
      </w:pPr>
      <w:bookmarkStart w:id="85" w:name="_Toc31526"/>
      <w:bookmarkStart w:id="86" w:name="_Toc28621"/>
      <w:r>
        <w:rPr>
          <w:rFonts w:hint="eastAsia" w:ascii="宋体" w:hAnsi="宋体" w:eastAsia="宋体" w:cs="宋体"/>
          <w:b/>
          <w:color w:val="auto"/>
          <w:sz w:val="28"/>
          <w:highlight w:val="none"/>
        </w:rPr>
        <w:br w:type="page"/>
      </w:r>
    </w:p>
    <w:p w14:paraId="40257B96">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7" w:name="_Toc29406"/>
      <w:r>
        <w:rPr>
          <w:rFonts w:hint="eastAsia" w:ascii="宋体" w:hAnsi="宋体" w:eastAsia="宋体" w:cs="宋体"/>
          <w:color w:val="auto"/>
          <w:sz w:val="28"/>
          <w:szCs w:val="28"/>
          <w:highlight w:val="none"/>
          <w:lang w:val="en-US" w:eastAsia="zh-CN"/>
        </w:rPr>
        <w:t>附件7         法定代表人身份证明（格式）</w:t>
      </w:r>
      <w:bookmarkEnd w:id="85"/>
      <w:bookmarkEnd w:id="86"/>
      <w:bookmarkEnd w:id="87"/>
    </w:p>
    <w:p w14:paraId="566EF75F">
      <w:pPr>
        <w:widowControl/>
        <w:wordWrap w:val="0"/>
        <w:spacing w:line="460" w:lineRule="exact"/>
        <w:jc w:val="left"/>
        <w:rPr>
          <w:rFonts w:hint="eastAsia" w:ascii="宋体" w:hAnsi="宋体" w:eastAsia="宋体" w:cs="宋体"/>
          <w:color w:val="auto"/>
          <w:kern w:val="0"/>
          <w:sz w:val="24"/>
          <w:highlight w:val="none"/>
        </w:rPr>
      </w:pPr>
    </w:p>
    <w:p w14:paraId="64E6DF5B">
      <w:pPr>
        <w:widowControl/>
        <w:wordWrap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名称：</w:t>
      </w:r>
      <w:r>
        <w:rPr>
          <w:rFonts w:hint="eastAsia" w:ascii="宋体" w:hAnsi="宋体" w:eastAsia="宋体" w:cs="宋体"/>
          <w:color w:val="auto"/>
          <w:kern w:val="0"/>
          <w:szCs w:val="21"/>
          <w:highlight w:val="none"/>
          <w:u w:val="single"/>
          <w:lang w:val="en-US" w:eastAsia="zh-CN"/>
        </w:rPr>
        <w:t xml:space="preserve">                                </w:t>
      </w:r>
    </w:p>
    <w:p w14:paraId="718D7915">
      <w:pPr>
        <w:widowControl/>
        <w:wordWrap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地址：</w:t>
      </w:r>
      <w:r>
        <w:rPr>
          <w:rFonts w:hint="eastAsia" w:ascii="宋体" w:hAnsi="宋体" w:eastAsia="宋体" w:cs="宋体"/>
          <w:color w:val="auto"/>
          <w:kern w:val="0"/>
          <w:szCs w:val="21"/>
          <w:highlight w:val="none"/>
          <w:u w:val="single"/>
          <w:lang w:val="en-US" w:eastAsia="zh-CN"/>
        </w:rPr>
        <w:t xml:space="preserve">                                        </w:t>
      </w:r>
    </w:p>
    <w:p w14:paraId="2C11F584">
      <w:pPr>
        <w:widowControl/>
        <w:wordWrap w:val="0"/>
        <w:spacing w:line="460" w:lineRule="exact"/>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highlight w:val="none"/>
        </w:rPr>
        <w:t>成立时间：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年</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月</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日</w:t>
      </w:r>
    </w:p>
    <w:p w14:paraId="63386B5D">
      <w:pPr>
        <w:widowControl/>
        <w:wordWrap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szCs w:val="20"/>
          <w:highlight w:val="none"/>
        </w:rPr>
        <w:t>经营期限：</w:t>
      </w:r>
      <w:r>
        <w:rPr>
          <w:rFonts w:hint="eastAsia" w:ascii="宋体" w:hAnsi="宋体" w:eastAsia="宋体" w:cs="宋体"/>
          <w:color w:val="auto"/>
          <w:kern w:val="0"/>
          <w:szCs w:val="21"/>
          <w:highlight w:val="none"/>
          <w:u w:val="single"/>
          <w:lang w:val="en-US" w:eastAsia="zh-CN"/>
        </w:rPr>
        <w:t xml:space="preserve">                        </w:t>
      </w:r>
    </w:p>
    <w:p w14:paraId="2F81B036">
      <w:pPr>
        <w:widowControl/>
        <w:wordWrap w:val="0"/>
        <w:spacing w:line="460" w:lineRule="exact"/>
        <w:ind w:firstLine="48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 w:val="24"/>
          <w:highlight w:val="none"/>
        </w:rPr>
        <w:t>姓名：</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，性别：</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，年龄：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，职务：</w:t>
      </w:r>
      <w:r>
        <w:rPr>
          <w:rFonts w:hint="eastAsia" w:ascii="宋体" w:hAnsi="宋体" w:eastAsia="宋体" w:cs="宋体"/>
          <w:color w:val="auto"/>
          <w:kern w:val="0"/>
          <w:szCs w:val="21"/>
          <w:highlight w:val="none"/>
          <w:u w:val="single"/>
          <w:lang w:val="en-US" w:eastAsia="zh-CN"/>
        </w:rPr>
        <w:t xml:space="preserve">        </w:t>
      </w:r>
    </w:p>
    <w:p w14:paraId="7C90C00B">
      <w:pPr>
        <w:widowControl/>
        <w:wordWrap w:val="0"/>
        <w:spacing w:line="460" w:lineRule="exact"/>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w:t>
      </w:r>
      <w:r>
        <w:rPr>
          <w:rFonts w:hint="eastAsia" w:ascii="宋体" w:hAnsi="宋体" w:eastAsia="宋体" w:cs="宋体"/>
          <w:color w:val="auto"/>
          <w:kern w:val="0"/>
          <w:sz w:val="24"/>
          <w:szCs w:val="20"/>
          <w:highlight w:val="none"/>
          <w:lang w:eastAsia="zh-CN"/>
        </w:rPr>
        <w:t>供应商</w:t>
      </w:r>
      <w:r>
        <w:rPr>
          <w:rFonts w:hint="eastAsia" w:ascii="宋体" w:hAnsi="宋体" w:eastAsia="宋体" w:cs="宋体"/>
          <w:color w:val="auto"/>
          <w:kern w:val="0"/>
          <w:sz w:val="24"/>
          <w:szCs w:val="20"/>
          <w:highlight w:val="none"/>
        </w:rPr>
        <w:t>名称）的法定代表人。</w:t>
      </w:r>
    </w:p>
    <w:p w14:paraId="4FE062B6">
      <w:pPr>
        <w:widowControl/>
        <w:wordWrap w:val="0"/>
        <w:spacing w:line="460" w:lineRule="exact"/>
        <w:jc w:val="left"/>
        <w:rPr>
          <w:rFonts w:hint="eastAsia" w:ascii="宋体" w:hAnsi="宋体" w:eastAsia="宋体" w:cs="宋体"/>
          <w:color w:val="auto"/>
          <w:kern w:val="0"/>
          <w:sz w:val="24"/>
          <w:szCs w:val="20"/>
          <w:highlight w:val="none"/>
        </w:rPr>
      </w:pPr>
    </w:p>
    <w:p w14:paraId="30B3A2FC">
      <w:pPr>
        <w:widowControl/>
        <w:wordWrap w:val="0"/>
        <w:spacing w:line="460" w:lineRule="exact"/>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特此证明。</w:t>
      </w:r>
    </w:p>
    <w:p w14:paraId="5CBF5780">
      <w:pPr>
        <w:widowControl/>
        <w:wordWrap w:val="0"/>
        <w:spacing w:line="460" w:lineRule="exact"/>
        <w:jc w:val="left"/>
        <w:rPr>
          <w:rFonts w:hint="eastAsia" w:ascii="宋体" w:hAnsi="宋体" w:eastAsia="宋体" w:cs="宋体"/>
          <w:color w:val="auto"/>
          <w:kern w:val="0"/>
          <w:sz w:val="24"/>
          <w:szCs w:val="20"/>
          <w:highlight w:val="none"/>
        </w:rPr>
      </w:pPr>
    </w:p>
    <w:p w14:paraId="5DBEE591">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0"/>
      </w:tblGrid>
      <w:tr w14:paraId="2952C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5" w:hRule="atLeast"/>
        </w:trPr>
        <w:tc>
          <w:tcPr>
            <w:tcW w:w="6860" w:type="dxa"/>
            <w:tcBorders>
              <w:top w:val="single" w:color="auto" w:sz="4" w:space="0"/>
              <w:left w:val="single" w:color="auto" w:sz="4" w:space="0"/>
              <w:bottom w:val="single" w:color="auto" w:sz="4" w:space="0"/>
              <w:right w:val="single" w:color="auto" w:sz="4" w:space="0"/>
            </w:tcBorders>
          </w:tcPr>
          <w:p w14:paraId="0AA5E577">
            <w:pPr>
              <w:widowControl/>
              <w:spacing w:line="480" w:lineRule="exact"/>
              <w:jc w:val="left"/>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此处请粘贴法定代表人身份证复印件</w:t>
            </w:r>
          </w:p>
          <w:p w14:paraId="608D1BA3">
            <w:pPr>
              <w:widowControl/>
              <w:spacing w:line="480" w:lineRule="exact"/>
              <w:jc w:val="left"/>
              <w:rPr>
                <w:rFonts w:hint="eastAsia" w:ascii="宋体" w:hAnsi="宋体" w:eastAsia="宋体" w:cs="宋体"/>
                <w:color w:val="auto"/>
                <w:kern w:val="0"/>
                <w:sz w:val="24"/>
                <w:highlight w:val="none"/>
              </w:rPr>
            </w:pPr>
          </w:p>
          <w:p w14:paraId="425F1145">
            <w:pPr>
              <w:widowControl/>
              <w:spacing w:line="480" w:lineRule="exact"/>
              <w:jc w:val="left"/>
              <w:rPr>
                <w:rFonts w:hint="eastAsia" w:ascii="宋体" w:hAnsi="宋体" w:eastAsia="宋体" w:cs="宋体"/>
                <w:color w:val="auto"/>
                <w:kern w:val="0"/>
                <w:sz w:val="24"/>
                <w:highlight w:val="none"/>
              </w:rPr>
            </w:pPr>
          </w:p>
        </w:tc>
      </w:tr>
    </w:tbl>
    <w:p w14:paraId="43EC0505">
      <w:pPr>
        <w:widowControl/>
        <w:wordWrap w:val="0"/>
        <w:spacing w:beforeLines="100" w:afterLines="100" w:line="480" w:lineRule="exact"/>
        <w:jc w:val="center"/>
        <w:rPr>
          <w:rFonts w:hint="eastAsia" w:ascii="宋体" w:hAnsi="宋体" w:eastAsia="宋体" w:cs="宋体"/>
          <w:b/>
          <w:color w:val="auto"/>
          <w:kern w:val="0"/>
          <w:sz w:val="24"/>
          <w:highlight w:val="none"/>
        </w:rPr>
      </w:pPr>
    </w:p>
    <w:p w14:paraId="7DE72753">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p w14:paraId="42F8CBEC">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p w14:paraId="7F75A711">
      <w:pPr>
        <w:widowControl/>
        <w:wordWrap w:val="0"/>
        <w:spacing w:line="480" w:lineRule="exact"/>
        <w:jc w:val="right"/>
        <w:rPr>
          <w:rFonts w:hint="eastAsia" w:ascii="宋体" w:hAnsi="宋体" w:eastAsia="宋体" w:cs="宋体"/>
          <w:color w:val="auto"/>
          <w:kern w:val="0"/>
          <w:sz w:val="24"/>
          <w:highlight w:val="none"/>
        </w:rPr>
      </w:pPr>
    </w:p>
    <w:p w14:paraId="4EC9ECDA">
      <w:pPr>
        <w:widowControl/>
        <w:wordWrap w:val="0"/>
        <w:spacing w:line="480" w:lineRule="exact"/>
        <w:jc w:val="right"/>
        <w:rPr>
          <w:rFonts w:hint="eastAsia" w:ascii="宋体" w:hAnsi="宋体" w:eastAsia="宋体" w:cs="宋体"/>
          <w:color w:val="auto"/>
          <w:kern w:val="0"/>
          <w:sz w:val="24"/>
          <w:highlight w:val="none"/>
        </w:rPr>
      </w:pPr>
    </w:p>
    <w:p w14:paraId="137FFC23">
      <w:pPr>
        <w:widowControl/>
        <w:wordWrap w:val="0"/>
        <w:snapToGrid w:val="0"/>
        <w:spacing w:line="460" w:lineRule="exact"/>
        <w:ind w:firstLine="2760" w:firstLineChars="115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14:paraId="3C284A57">
      <w:pPr>
        <w:widowControl/>
        <w:wordWrap w:val="0"/>
        <w:spacing w:line="460" w:lineRule="exact"/>
        <w:ind w:left="3780" w:leftChars="1800"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年    月    日</w:t>
      </w:r>
    </w:p>
    <w:p w14:paraId="06A5A9BF">
      <w:pPr>
        <w:rPr>
          <w:rFonts w:hint="eastAsia" w:ascii="宋体" w:hAnsi="宋体" w:eastAsia="宋体" w:cs="宋体"/>
          <w:color w:val="auto"/>
          <w:highlight w:val="none"/>
        </w:rPr>
      </w:pPr>
    </w:p>
    <w:p w14:paraId="24E0BC4A">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0DDD2863">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8" w:name="_Toc30519"/>
      <w:bookmarkStart w:id="89" w:name="_Toc12939"/>
      <w:bookmarkStart w:id="90" w:name="_Toc13976"/>
      <w:r>
        <w:rPr>
          <w:rFonts w:hint="eastAsia" w:ascii="宋体" w:hAnsi="宋体" w:eastAsia="宋体" w:cs="宋体"/>
          <w:color w:val="auto"/>
          <w:sz w:val="28"/>
          <w:szCs w:val="28"/>
          <w:highlight w:val="none"/>
          <w:lang w:val="en-US" w:eastAsia="zh-CN"/>
        </w:rPr>
        <w:t>附件8         法定代表人授权书（格式）</w:t>
      </w:r>
      <w:bookmarkEnd w:id="88"/>
      <w:bookmarkEnd w:id="89"/>
      <w:bookmarkEnd w:id="90"/>
    </w:p>
    <w:p w14:paraId="26F37052">
      <w:pPr>
        <w:widowControl/>
        <w:tabs>
          <w:tab w:val="left" w:pos="420"/>
          <w:tab w:val="left" w:pos="2160"/>
        </w:tabs>
        <w:wordWrap w:val="0"/>
        <w:spacing w:line="460" w:lineRule="exact"/>
        <w:ind w:firstLine="480" w:firstLineChars="200"/>
        <w:jc w:val="left"/>
        <w:rPr>
          <w:rFonts w:hint="eastAsia" w:ascii="宋体" w:hAnsi="宋体" w:eastAsia="宋体" w:cs="宋体"/>
          <w:color w:val="auto"/>
          <w:kern w:val="0"/>
          <w:sz w:val="24"/>
          <w:highlight w:val="none"/>
        </w:rPr>
      </w:pPr>
    </w:p>
    <w:p w14:paraId="20CFE6F1">
      <w:pPr>
        <w:widowControl/>
        <w:wordWrap w:val="0"/>
        <w:snapToGrid w:val="0"/>
        <w:spacing w:line="460" w:lineRule="exact"/>
        <w:jc w:val="left"/>
        <w:rPr>
          <w:rFonts w:hint="eastAsia" w:ascii="宋体" w:hAnsi="宋体" w:eastAsia="宋体" w:cs="宋体"/>
          <w:b/>
          <w:bCs/>
          <w:color w:val="auto"/>
          <w:kern w:val="0"/>
          <w:sz w:val="24"/>
          <w:highlight w:val="none"/>
        </w:rPr>
      </w:pPr>
      <w:r>
        <w:rPr>
          <w:rFonts w:hint="eastAsia" w:ascii="宋体" w:hAnsi="宋体" w:eastAsia="宋体" w:cs="宋体"/>
          <w:bCs/>
          <w:color w:val="auto"/>
          <w:kern w:val="0"/>
          <w:sz w:val="24"/>
          <w:highlight w:val="none"/>
        </w:rPr>
        <w:t>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采购人</w:t>
      </w:r>
      <w:r>
        <w:rPr>
          <w:rFonts w:hint="eastAsia" w:ascii="宋体" w:hAnsi="宋体" w:eastAsia="宋体" w:cs="宋体"/>
          <w:color w:val="auto"/>
          <w:kern w:val="0"/>
          <w:sz w:val="24"/>
          <w:highlight w:val="none"/>
        </w:rPr>
        <w:t>名称）：</w:t>
      </w:r>
    </w:p>
    <w:p w14:paraId="07D8310C">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 xml:space="preserve">名称）的法定代表人，现委托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（姓名）为我方代理人。代理人根据本授权，以我方的名义参加</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项目的投标活动，并代表我方全权办理针对上述项目的</w:t>
      </w:r>
      <w:r>
        <w:rPr>
          <w:rFonts w:hint="eastAsia" w:ascii="宋体" w:hAnsi="宋体" w:eastAsia="宋体" w:cs="宋体"/>
          <w:color w:val="auto"/>
          <w:kern w:val="0"/>
          <w:sz w:val="24"/>
          <w:highlight w:val="none"/>
          <w:lang w:val="en-US" w:eastAsia="zh-CN"/>
        </w:rPr>
        <w:t>磋商</w:t>
      </w:r>
      <w:r>
        <w:rPr>
          <w:rFonts w:hint="eastAsia" w:ascii="宋体" w:hAnsi="宋体" w:eastAsia="宋体" w:cs="宋体"/>
          <w:color w:val="auto"/>
          <w:kern w:val="0"/>
          <w:sz w:val="24"/>
          <w:highlight w:val="none"/>
        </w:rPr>
        <w:t>、开标、评</w:t>
      </w:r>
      <w:r>
        <w:rPr>
          <w:rFonts w:hint="eastAsia" w:ascii="宋体" w:hAnsi="宋体" w:eastAsia="宋体" w:cs="宋体"/>
          <w:color w:val="auto"/>
          <w:kern w:val="0"/>
          <w:sz w:val="24"/>
          <w:highlight w:val="none"/>
          <w:lang w:val="en-US" w:eastAsia="zh-CN"/>
        </w:rPr>
        <w:t>审</w:t>
      </w:r>
      <w:r>
        <w:rPr>
          <w:rFonts w:hint="eastAsia" w:ascii="宋体" w:hAnsi="宋体" w:eastAsia="宋体" w:cs="宋体"/>
          <w:color w:val="auto"/>
          <w:kern w:val="0"/>
          <w:sz w:val="24"/>
          <w:highlight w:val="none"/>
        </w:rPr>
        <w:t>、签约等具体事务和签署相关文件。</w:t>
      </w:r>
    </w:p>
    <w:p w14:paraId="3311EE74">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2E14D7BF">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如果本次采购活动现场变更采购方式，本授权书有效。</w:t>
      </w:r>
    </w:p>
    <w:p w14:paraId="44AA202C">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代理人无转委托权。</w:t>
      </w:r>
    </w:p>
    <w:p w14:paraId="7CE853A4">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委托期限：</w:t>
      </w:r>
    </w:p>
    <w:p w14:paraId="409406BE">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p>
    <w:p w14:paraId="208D12AA">
      <w:pPr>
        <w:widowControl/>
        <w:wordWrap w:val="0"/>
        <w:snapToGrid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委托代理人签名：             法定代表人签名</w:t>
      </w:r>
      <w:r>
        <w:rPr>
          <w:rFonts w:hint="eastAsia" w:ascii="宋体" w:hAnsi="宋体" w:eastAsia="宋体" w:cs="宋体"/>
          <w:color w:val="auto"/>
          <w:kern w:val="0"/>
          <w:sz w:val="24"/>
          <w:highlight w:val="none"/>
          <w:lang w:val="en-US" w:eastAsia="zh-CN"/>
        </w:rPr>
        <w:t>或盖章</w:t>
      </w:r>
      <w:r>
        <w:rPr>
          <w:rFonts w:hint="eastAsia" w:ascii="宋体" w:hAnsi="宋体" w:eastAsia="宋体" w:cs="宋体"/>
          <w:color w:val="auto"/>
          <w:kern w:val="0"/>
          <w:sz w:val="24"/>
          <w:highlight w:val="none"/>
        </w:rPr>
        <w:t>：</w:t>
      </w:r>
    </w:p>
    <w:p w14:paraId="414CFA2B">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0"/>
      </w:tblGrid>
      <w:tr w14:paraId="6E7EB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2" w:hRule="atLeast"/>
        </w:trPr>
        <w:tc>
          <w:tcPr>
            <w:tcW w:w="6780" w:type="dxa"/>
            <w:tcBorders>
              <w:top w:val="single" w:color="auto" w:sz="4" w:space="0"/>
              <w:left w:val="single" w:color="auto" w:sz="4" w:space="0"/>
              <w:bottom w:val="single" w:color="auto" w:sz="4" w:space="0"/>
              <w:right w:val="single" w:color="auto" w:sz="4" w:space="0"/>
            </w:tcBorders>
          </w:tcPr>
          <w:p w14:paraId="58C9EA2A">
            <w:pPr>
              <w:widowControl/>
              <w:spacing w:line="480" w:lineRule="exact"/>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 w:val="24"/>
                <w:highlight w:val="none"/>
              </w:rPr>
              <w:t>此处请粘贴</w:t>
            </w:r>
            <w:r>
              <w:rPr>
                <w:rFonts w:hint="eastAsia" w:ascii="宋体" w:hAnsi="宋体" w:eastAsia="宋体" w:cs="宋体"/>
                <w:color w:val="auto"/>
                <w:kern w:val="0"/>
                <w:sz w:val="24"/>
                <w:highlight w:val="none"/>
              </w:rPr>
              <w:t>委托代理人</w:t>
            </w:r>
            <w:r>
              <w:rPr>
                <w:rFonts w:hint="eastAsia" w:ascii="宋体" w:hAnsi="宋体" w:eastAsia="宋体" w:cs="宋体"/>
                <w:bCs/>
                <w:color w:val="auto"/>
                <w:kern w:val="0"/>
                <w:sz w:val="24"/>
                <w:highlight w:val="none"/>
              </w:rPr>
              <w:t>身份证复印件</w:t>
            </w:r>
          </w:p>
        </w:tc>
      </w:tr>
    </w:tbl>
    <w:p w14:paraId="527C7F41">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委托代理人身份证号码：</w:t>
      </w:r>
    </w:p>
    <w:p w14:paraId="3F0C663B">
      <w:pPr>
        <w:widowControl/>
        <w:wordWrap w:val="0"/>
        <w:spacing w:line="460" w:lineRule="exact"/>
        <w:ind w:firstLine="4800" w:firstLineChars="2000"/>
        <w:jc w:val="left"/>
        <w:rPr>
          <w:rFonts w:hint="eastAsia" w:ascii="宋体" w:hAnsi="宋体" w:eastAsia="宋体" w:cs="宋体"/>
          <w:color w:val="auto"/>
          <w:kern w:val="0"/>
          <w:sz w:val="24"/>
          <w:highlight w:val="none"/>
        </w:rPr>
      </w:pPr>
    </w:p>
    <w:p w14:paraId="47490F48">
      <w:pPr>
        <w:widowControl/>
        <w:wordWrap w:val="0"/>
        <w:spacing w:line="360" w:lineRule="auto"/>
        <w:jc w:val="center"/>
        <w:rPr>
          <w:rFonts w:hint="eastAsia" w:ascii="宋体" w:hAnsi="宋体" w:eastAsia="宋体" w:cs="宋体"/>
          <w:color w:val="auto"/>
          <w:kern w:val="0"/>
          <w:sz w:val="24"/>
          <w:highlight w:val="none"/>
        </w:rPr>
      </w:pPr>
    </w:p>
    <w:p w14:paraId="10F674C3">
      <w:pPr>
        <w:widowControl/>
        <w:wordWrap w:val="0"/>
        <w:spacing w:line="360" w:lineRule="auto"/>
        <w:jc w:val="right"/>
        <w:rPr>
          <w:rFonts w:hint="eastAsia" w:ascii="宋体" w:hAnsi="宋体" w:eastAsia="宋体" w:cs="宋体"/>
          <w:color w:val="auto"/>
          <w:kern w:val="0"/>
          <w:sz w:val="24"/>
          <w:highlight w:val="none"/>
        </w:rPr>
      </w:pPr>
    </w:p>
    <w:p w14:paraId="64EEE987">
      <w:pPr>
        <w:widowControl/>
        <w:wordWrap w:val="0"/>
        <w:spacing w:line="360" w:lineRule="auto"/>
        <w:jc w:val="right"/>
        <w:rPr>
          <w:rFonts w:hint="eastAsia" w:ascii="宋体" w:hAnsi="宋体" w:eastAsia="宋体" w:cs="宋体"/>
          <w:color w:val="auto"/>
          <w:kern w:val="0"/>
          <w:sz w:val="24"/>
          <w:highlight w:val="none"/>
        </w:rPr>
      </w:pPr>
    </w:p>
    <w:p w14:paraId="1DA78FC1">
      <w:pPr>
        <w:widowControl/>
        <w:wordWrap w:val="0"/>
        <w:spacing w:line="360" w:lineRule="auto"/>
        <w:jc w:val="right"/>
        <w:rPr>
          <w:rFonts w:hint="eastAsia" w:ascii="宋体" w:hAnsi="宋体" w:eastAsia="宋体" w:cs="宋体"/>
          <w:color w:val="auto"/>
          <w:kern w:val="0"/>
          <w:sz w:val="24"/>
          <w:highlight w:val="none"/>
        </w:rPr>
      </w:pPr>
    </w:p>
    <w:p w14:paraId="03DDFB0A">
      <w:pPr>
        <w:widowControl/>
        <w:wordWrap w:val="0"/>
        <w:spacing w:line="360" w:lineRule="auto"/>
        <w:jc w:val="right"/>
        <w:rPr>
          <w:rFonts w:hint="eastAsia" w:ascii="宋体" w:hAnsi="宋体" w:eastAsia="宋体" w:cs="宋体"/>
          <w:color w:val="auto"/>
          <w:kern w:val="0"/>
          <w:sz w:val="24"/>
          <w:highlight w:val="none"/>
        </w:rPr>
      </w:pPr>
    </w:p>
    <w:p w14:paraId="44C38315">
      <w:pPr>
        <w:widowControl/>
        <w:wordWrap w:val="0"/>
        <w:spacing w:line="360" w:lineRule="auto"/>
        <w:jc w:val="right"/>
        <w:rPr>
          <w:rFonts w:hint="eastAsia" w:ascii="宋体" w:hAnsi="宋体" w:eastAsia="宋体" w:cs="宋体"/>
          <w:color w:val="auto"/>
          <w:kern w:val="0"/>
          <w:sz w:val="24"/>
          <w:highlight w:val="none"/>
        </w:rPr>
      </w:pPr>
    </w:p>
    <w:p w14:paraId="37BFC090">
      <w:pPr>
        <w:widowControl/>
        <w:wordWrap/>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14:paraId="65EA290B">
      <w:pPr>
        <w:widowControl/>
        <w:wordWrap w:val="0"/>
        <w:spacing w:line="460" w:lineRule="exact"/>
        <w:ind w:firstLine="3840" w:firstLineChars="1600"/>
        <w:jc w:val="left"/>
        <w:rPr>
          <w:rFonts w:hint="eastAsia" w:ascii="宋体" w:hAnsi="宋体" w:eastAsia="宋体" w:cs="宋体"/>
          <w:b/>
          <w:color w:val="auto"/>
          <w:kern w:val="0"/>
          <w:sz w:val="32"/>
          <w:szCs w:val="32"/>
          <w:highlight w:val="none"/>
        </w:rPr>
      </w:pPr>
      <w:r>
        <w:rPr>
          <w:rFonts w:hint="eastAsia" w:ascii="宋体" w:hAnsi="宋体" w:eastAsia="宋体" w:cs="宋体"/>
          <w:color w:val="auto"/>
          <w:kern w:val="0"/>
          <w:sz w:val="24"/>
          <w:highlight w:val="none"/>
        </w:rPr>
        <w:t>年    月    日</w:t>
      </w:r>
    </w:p>
    <w:p w14:paraId="6933104B">
      <w:pPr>
        <w:widowControl/>
        <w:spacing w:line="360" w:lineRule="auto"/>
        <w:ind w:firstLine="7228" w:firstLineChars="2250"/>
        <w:jc w:val="left"/>
        <w:rPr>
          <w:rFonts w:hint="eastAsia" w:ascii="宋体" w:hAnsi="宋体" w:eastAsia="宋体" w:cs="宋体"/>
          <w:b/>
          <w:color w:val="auto"/>
          <w:kern w:val="0"/>
          <w:sz w:val="32"/>
          <w:szCs w:val="32"/>
          <w:highlight w:val="none"/>
        </w:rPr>
      </w:pPr>
    </w:p>
    <w:p w14:paraId="04D315BF">
      <w:pP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14:paraId="3D24408E">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91" w:name="_Toc3342"/>
      <w:bookmarkStart w:id="92" w:name="_Toc18105"/>
      <w:bookmarkStart w:id="93" w:name="_Toc24693"/>
      <w:r>
        <w:rPr>
          <w:rFonts w:hint="eastAsia" w:ascii="宋体" w:hAnsi="宋体" w:eastAsia="宋体" w:cs="宋体"/>
          <w:color w:val="auto"/>
          <w:sz w:val="28"/>
          <w:szCs w:val="28"/>
          <w:highlight w:val="none"/>
          <w:lang w:val="en-US" w:eastAsia="zh-CN"/>
        </w:rPr>
        <w:t>附件9          证明文件</w:t>
      </w:r>
      <w:bookmarkEnd w:id="91"/>
      <w:bookmarkEnd w:id="92"/>
      <w:bookmarkEnd w:id="93"/>
    </w:p>
    <w:p w14:paraId="644D293B">
      <w:pPr>
        <w:pStyle w:val="10"/>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9.1</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资格审查资料</w:t>
      </w:r>
    </w:p>
    <w:p w14:paraId="4813F031">
      <w:pPr>
        <w:pStyle w:val="10"/>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9.2</w:t>
      </w:r>
      <w:r>
        <w:rPr>
          <w:rFonts w:hint="eastAsia"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lang w:val="en-US" w:eastAsia="zh-CN"/>
        </w:rPr>
        <w:t>产品技术参数支持资料</w:t>
      </w:r>
    </w:p>
    <w:p w14:paraId="00828F39">
      <w:pPr>
        <w:pStyle w:val="10"/>
        <w:spacing w:beforeAutospacing="0" w:afterAutospacing="0" w:line="480" w:lineRule="auto"/>
        <w:ind w:firstLine="470" w:firstLineChars="224"/>
        <w:jc w:val="both"/>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9.3</w:t>
      </w:r>
      <w:r>
        <w:rPr>
          <w:rFonts w:hint="eastAsia" w:ascii="宋体" w:hAnsi="宋体" w:eastAsia="宋体" w:cs="宋体"/>
          <w:bCs/>
          <w:color w:val="auto"/>
          <w:sz w:val="21"/>
          <w:szCs w:val="21"/>
          <w:highlight w:val="none"/>
          <w:lang w:val="en-US" w:eastAsia="zh-CN"/>
        </w:rPr>
        <w:t xml:space="preserve"> </w:t>
      </w:r>
      <w:bookmarkStart w:id="94" w:name="_Toc17966"/>
      <w:r>
        <w:rPr>
          <w:rFonts w:hint="eastAsia" w:ascii="宋体" w:hAnsi="宋体" w:eastAsia="宋体" w:cs="宋体"/>
          <w:bCs/>
          <w:color w:val="auto"/>
          <w:sz w:val="21"/>
          <w:szCs w:val="21"/>
          <w:highlight w:val="none"/>
          <w:lang w:val="en-US" w:eastAsia="zh-CN"/>
        </w:rPr>
        <w:t>评分标准中需提供的证明材料</w:t>
      </w:r>
    </w:p>
    <w:p w14:paraId="401A2B52">
      <w:pPr>
        <w:pStyle w:val="10"/>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w:t>
      </w:r>
      <w:r>
        <w:rPr>
          <w:rFonts w:hint="eastAsia" w:ascii="宋体" w:hAnsi="宋体" w:eastAsia="宋体" w:cs="宋体"/>
          <w:bCs/>
          <w:color w:val="auto"/>
          <w:sz w:val="21"/>
          <w:szCs w:val="21"/>
          <w:highlight w:val="none"/>
          <w:lang w:val="en-US" w:eastAsia="zh-CN"/>
        </w:rPr>
        <w:t>4 供应商认为其他需要提供的证明材料</w:t>
      </w:r>
      <w:r>
        <w:rPr>
          <w:rFonts w:hint="eastAsia" w:ascii="宋体" w:hAnsi="宋体" w:eastAsia="宋体" w:cs="宋体"/>
          <w:bCs/>
          <w:color w:val="auto"/>
          <w:sz w:val="21"/>
          <w:szCs w:val="21"/>
          <w:highlight w:val="none"/>
        </w:rPr>
        <w:t>。</w:t>
      </w:r>
    </w:p>
    <w:p w14:paraId="38997C36">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63B9045E">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0CF185C0">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5A38418C">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6EE51B98">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615549B2">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6366152E">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4F755349">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4DBE70D8">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45048D1C">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4FD293BC">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2AFAC9D1">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0629ABF5">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411E6D38">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42761FA2">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3C0135E1">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3BB81C13">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95" w:name="_Toc16083"/>
      <w:bookmarkStart w:id="96" w:name="_Toc13726"/>
      <w:bookmarkStart w:id="97" w:name="_Toc12888"/>
      <w:r>
        <w:rPr>
          <w:rFonts w:hint="eastAsia" w:ascii="宋体" w:hAnsi="宋体" w:eastAsia="宋体" w:cs="宋体"/>
          <w:color w:val="auto"/>
          <w:sz w:val="28"/>
          <w:szCs w:val="28"/>
          <w:highlight w:val="none"/>
          <w:lang w:val="en-US" w:eastAsia="zh-CN"/>
        </w:rPr>
        <w:t xml:space="preserve">附件10      </w:t>
      </w:r>
      <w:bookmarkEnd w:id="94"/>
      <w:r>
        <w:rPr>
          <w:rFonts w:hint="eastAsia" w:ascii="宋体" w:hAnsi="宋体" w:eastAsia="宋体" w:cs="宋体"/>
          <w:color w:val="auto"/>
          <w:sz w:val="28"/>
          <w:szCs w:val="28"/>
          <w:highlight w:val="none"/>
          <w:lang w:val="en-US" w:eastAsia="zh-CN"/>
        </w:rPr>
        <w:t>供 应 商 承 诺 书 （格式）</w:t>
      </w:r>
      <w:bookmarkEnd w:id="95"/>
      <w:bookmarkEnd w:id="96"/>
      <w:bookmarkEnd w:id="97"/>
    </w:p>
    <w:p w14:paraId="02DAF775">
      <w:pPr>
        <w:bidi w:val="0"/>
        <w:rPr>
          <w:rFonts w:hint="eastAsia" w:ascii="宋体" w:hAnsi="宋体" w:eastAsia="宋体" w:cs="宋体"/>
          <w:color w:val="auto"/>
          <w:highlight w:val="none"/>
        </w:rPr>
      </w:pPr>
    </w:p>
    <w:p w14:paraId="068327A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院（以下简称甲方）组织的本次采购，在遵守《招标投标法》、《政府采购法》、《合同法》、《反不正当竞争法》和《关于推进招投标监督领域诚信建设的意见》等法律法规的基础上，要求贵方（以下简称乙方）做出如下承诺：</w:t>
      </w:r>
    </w:p>
    <w:p w14:paraId="0C418C4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1、遵循公开、公平、公正和诚实信用的原则自愿参加，所提供的一切材料真实、有效、合法。</w:t>
      </w:r>
    </w:p>
    <w:p w14:paraId="4ADAE26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2、遵守甲方采购纪律，诚实守信地为甲方提供安全可靠的产品、服务及相关技术，保证质量并主动做好售后服务工作。</w:t>
      </w:r>
    </w:p>
    <w:p w14:paraId="25862B7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3、杜绝利用提供财物或给予其他不正当利益谋取中标的不良行为。</w:t>
      </w:r>
    </w:p>
    <w:p w14:paraId="54B1AF1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4、不发生其他任何可能影响甲方工作人员公正执行公务或者职务廉洁的行为。</w:t>
      </w:r>
    </w:p>
    <w:p w14:paraId="545BED4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5、不参与串标、围标或其他不正当竞争行为；杜绝以虚报资质、业绩或其他弄虚作假等方式骗取中标。</w:t>
      </w:r>
    </w:p>
    <w:p w14:paraId="4A8907A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6、响应时，杜绝擅自修改采购文件或技术标准（包括差异表）技术配置的行为。</w:t>
      </w:r>
    </w:p>
    <w:p w14:paraId="0F6AC67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7、严格按照采购、</w:t>
      </w: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文件要求签订合同，不违反法律无故拒签合同，不签订背离合同（或技术协议书）实质性内容的协议。</w:t>
      </w:r>
    </w:p>
    <w:p w14:paraId="4F121AA1">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highlight w:val="none"/>
        </w:rPr>
      </w:pPr>
    </w:p>
    <w:p w14:paraId="330FDCCA">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公司名称</w:t>
      </w:r>
      <w:r>
        <w:rPr>
          <w:rFonts w:hint="eastAsia" w:ascii="宋体" w:hAnsi="宋体" w:eastAsia="宋体" w:cs="宋体"/>
          <w:color w:val="auto"/>
          <w:sz w:val="24"/>
          <w:szCs w:val="24"/>
          <w:highlight w:val="none"/>
        </w:rPr>
        <w:t xml:space="preserve">）：               </w:t>
      </w:r>
    </w:p>
    <w:p w14:paraId="340B8D12">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4"/>
          <w:szCs w:val="24"/>
          <w:highlight w:val="none"/>
        </w:rPr>
        <w:t>法定代表人或委托人（签字或盖章）：                   年   月   日</w:t>
      </w:r>
    </w:p>
    <w:p w14:paraId="6CCC32DA">
      <w:pPr>
        <w:widowControl/>
        <w:spacing w:line="360" w:lineRule="auto"/>
        <w:ind w:firstLine="4305" w:firstLineChars="2050"/>
        <w:jc w:val="left"/>
        <w:rPr>
          <w:rFonts w:hint="eastAsia" w:ascii="宋体" w:hAnsi="宋体" w:eastAsia="宋体" w:cs="宋体"/>
          <w:color w:val="auto"/>
          <w:kern w:val="0"/>
          <w:szCs w:val="21"/>
          <w:highlight w:val="none"/>
        </w:rPr>
      </w:pPr>
    </w:p>
    <w:p w14:paraId="2B1C72AF">
      <w:pPr>
        <w:pStyle w:val="32"/>
        <w:rPr>
          <w:rFonts w:hint="eastAsia" w:ascii="宋体" w:hAnsi="宋体" w:eastAsia="宋体" w:cs="宋体"/>
          <w:color w:val="auto"/>
          <w:kern w:val="0"/>
          <w:szCs w:val="21"/>
          <w:highlight w:val="none"/>
        </w:rPr>
      </w:pPr>
    </w:p>
    <w:p w14:paraId="7C0BDA51">
      <w:pPr>
        <w:pStyle w:val="15"/>
        <w:rPr>
          <w:rFonts w:hint="eastAsia" w:ascii="宋体" w:hAnsi="宋体" w:eastAsia="宋体" w:cs="宋体"/>
          <w:color w:val="auto"/>
          <w:kern w:val="0"/>
          <w:szCs w:val="21"/>
          <w:highlight w:val="none"/>
        </w:rPr>
      </w:pPr>
    </w:p>
    <w:p w14:paraId="7CC90B0D">
      <w:pPr>
        <w:pStyle w:val="10"/>
        <w:rPr>
          <w:rFonts w:hint="eastAsia" w:ascii="宋体" w:hAnsi="宋体" w:eastAsia="宋体" w:cs="宋体"/>
          <w:color w:val="auto"/>
          <w:highlight w:val="none"/>
        </w:rPr>
      </w:pPr>
    </w:p>
    <w:p w14:paraId="5CAC53F3">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附件11     供应商信用承诺函（格式）</w:t>
      </w:r>
    </w:p>
    <w:p w14:paraId="11D54CC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致（采购人或政府采购代理机构）：</w:t>
      </w:r>
    </w:p>
    <w:p w14:paraId="5B15E3F4">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单位名称（自然人姓名）：</w:t>
      </w:r>
    </w:p>
    <w:p w14:paraId="796876B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统一社会信用代码（身份证号码）：</w:t>
      </w:r>
    </w:p>
    <w:p w14:paraId="571F940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法定代表人（负责人）：</w:t>
      </w:r>
    </w:p>
    <w:p w14:paraId="35ABFF3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联系地址和电话：</w:t>
      </w:r>
    </w:p>
    <w:p w14:paraId="55C26F3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76CA75B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（一）具有独立承担民事责任的能力；</w:t>
      </w:r>
    </w:p>
    <w:p w14:paraId="0CBDAC0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（二）具有良好的商业信誉和健全的财务会计制度；</w:t>
      </w:r>
    </w:p>
    <w:p w14:paraId="2394BAF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（三）具有履行合同所必需的设备和专业技术能力；</w:t>
      </w:r>
    </w:p>
    <w:p w14:paraId="2ABB319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（四）有依法缴纳税收和社会保障资金的良好记录；</w:t>
      </w:r>
    </w:p>
    <w:p w14:paraId="465F180E">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（五）参加政府采购活动前三年内，在经营活动中没有重大违法记录；</w:t>
      </w:r>
    </w:p>
    <w:p w14:paraId="2A428F7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（六）未被列入严重失信主体名单、失信被执行人、税收违法黑名单、政府采购严重违法失信行为记录名单，未曾作出虚假承诺；</w:t>
      </w:r>
    </w:p>
    <w:p w14:paraId="28C5766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（七）符合法律、行政法规规定的其他条件。</w:t>
      </w:r>
    </w:p>
    <w:p w14:paraId="281F3A9C">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我单位（本人）保证上述承诺事项的真实性，如有弄虚作假或其他违法违规行为，愿意承担一切法律责任，并承担因此所造成的一切损失。</w:t>
      </w:r>
    </w:p>
    <w:p w14:paraId="5D94361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7D8C474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供应商名称（盖章）：</w:t>
      </w:r>
    </w:p>
    <w:p w14:paraId="6B3DF1A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法定代表人、负责人、自然人或授权代表(签字或盖章)：</w:t>
      </w:r>
    </w:p>
    <w:p w14:paraId="50178CB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日期：       年      月       日</w:t>
      </w:r>
    </w:p>
    <w:p w14:paraId="5A75BB3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19ACDF2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3D986FD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注：1.供应商须在投标（响应性）文件中按此模板提供承诺函，未提供视为未实质性响应招标文件要求，按无效投标（响应）处理。</w:t>
      </w:r>
    </w:p>
    <w:p w14:paraId="10787DD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2.供应商的法定代表人或者授权代表的签字或盖章应真实、有效，如由授权代表签字或盖章的，应提供“法定代表人授权书”。</w:t>
      </w:r>
    </w:p>
    <w:p w14:paraId="76231F70">
      <w:pPr>
        <w:pStyle w:val="10"/>
        <w:spacing w:beforeAutospacing="0" w:afterAutospacing="0" w:line="460" w:lineRule="atLeast"/>
        <w:jc w:val="both"/>
        <w:rPr>
          <w:rFonts w:hint="eastAsia" w:ascii="宋体" w:hAnsi="宋体" w:eastAsia="宋体" w:cs="宋体"/>
          <w:b/>
          <w:bCs/>
          <w:color w:val="auto"/>
          <w:sz w:val="28"/>
          <w:szCs w:val="28"/>
          <w:highlight w:val="none"/>
        </w:rPr>
        <w:sectPr>
          <w:pgSz w:w="11906" w:h="16838"/>
          <w:pgMar w:top="1417" w:right="1474" w:bottom="1417" w:left="1474" w:header="851" w:footer="624" w:gutter="0"/>
          <w:pgBorders>
            <w:top w:val="none" w:sz="0" w:space="0"/>
            <w:left w:val="none" w:sz="0" w:space="0"/>
            <w:bottom w:val="none" w:sz="0" w:space="0"/>
            <w:right w:val="none" w:sz="0" w:space="0"/>
          </w:pgBorders>
          <w:pgNumType w:fmt="decimal"/>
          <w:cols w:space="720" w:num="1"/>
          <w:docGrid w:type="lines" w:linePitch="319" w:charSpace="0"/>
        </w:sectPr>
      </w:pPr>
    </w:p>
    <w:p w14:paraId="36FCA787">
      <w:pPr>
        <w:bidi w:val="0"/>
        <w:rPr>
          <w:rFonts w:hint="eastAsia" w:ascii="宋体" w:hAnsi="宋体" w:eastAsia="宋体" w:cs="宋体"/>
          <w:color w:val="auto"/>
          <w:highlight w:val="none"/>
          <w:lang w:eastAsia="zh-CN"/>
        </w:rPr>
      </w:pPr>
      <w:bookmarkStart w:id="98" w:name="_Toc25094"/>
      <w:bookmarkStart w:id="99" w:name="_Toc31685"/>
      <w:bookmarkStart w:id="100" w:name="_Toc23394"/>
    </w:p>
    <w:p w14:paraId="24DE6E54">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rPr>
      </w:pPr>
      <w:r>
        <w:rPr>
          <w:rFonts w:hint="eastAsia" w:ascii="宋体" w:hAnsi="宋体" w:eastAsia="宋体" w:cs="宋体"/>
          <w:lang w:eastAsia="zh-CN"/>
        </w:rPr>
        <w:t>供应商</w:t>
      </w:r>
      <w:r>
        <w:rPr>
          <w:rFonts w:hint="eastAsia" w:ascii="宋体" w:hAnsi="宋体" w:eastAsia="宋体" w:cs="宋体"/>
        </w:rPr>
        <w:t>认为有必要的其他资料</w:t>
      </w:r>
      <w:bookmarkEnd w:id="98"/>
      <w:bookmarkEnd w:id="99"/>
      <w:bookmarkEnd w:id="100"/>
    </w:p>
    <w:p w14:paraId="6AA68725">
      <w:pPr>
        <w:widowControl/>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备注：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应当仔细核对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文件中有关废标条款和评标标准，提供</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认为应当附加的其它内容，以充分证明其投标符合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文件规定，并为评标提供充分依据。如果</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未能提供相关证明文件，将有可能导致废标或者无法得分。</w:t>
      </w:r>
    </w:p>
    <w:p w14:paraId="04BC93FF">
      <w:pPr>
        <w:pStyle w:val="10"/>
        <w:spacing w:beforeAutospacing="0" w:afterAutospacing="0" w:line="460" w:lineRule="atLeast"/>
        <w:jc w:val="both"/>
        <w:rPr>
          <w:rFonts w:hint="eastAsia" w:ascii="宋体" w:hAnsi="宋体" w:eastAsia="宋体" w:cs="宋体"/>
          <w:b/>
          <w:bCs/>
          <w:color w:val="auto"/>
          <w:sz w:val="28"/>
          <w:szCs w:val="28"/>
          <w:highlight w:val="none"/>
        </w:rPr>
      </w:pPr>
    </w:p>
    <w:sectPr>
      <w:pgSz w:w="11906" w:h="16838"/>
      <w:pgMar w:top="1417" w:right="1474" w:bottom="1417" w:left="1474" w:header="851" w:footer="624" w:gutter="0"/>
      <w:pgBorders>
        <w:top w:val="none" w:sz="0" w:space="0"/>
        <w:left w:val="none" w:sz="0" w:space="0"/>
        <w:bottom w:val="none" w:sz="0" w:space="0"/>
        <w:right w:val="none" w:sz="0" w:space="0"/>
      </w:pgBorders>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20089">
    <w:pPr>
      <w:pStyle w:val="22"/>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2EF6B5B">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62EF6B5B">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C7533">
    <w:pPr>
      <w:pStyle w:val="22"/>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26B58A8D">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26B58A8D">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1B4A088B">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41D8B">
    <w:pPr>
      <w:pStyle w:val="24"/>
      <w:jc w:val="right"/>
      <w:rPr>
        <w:rFonts w:hint="eastAsia"/>
      </w:rPr>
    </w:pPr>
    <w:r>
      <w:rPr>
        <w:rFonts w:hint="eastAsia" w:ascii="宋体" w:hAnsi="宋体" w:cs="宋体"/>
        <w:color w:val="auto"/>
        <w:szCs w:val="21"/>
        <w:highlight w:val="none"/>
        <w:u w:val="none"/>
        <w:shd w:val="clear" w:color="auto" w:fill="FFFFFF"/>
        <w:lang w:val="en-US" w:eastAsia="zh-CN"/>
      </w:rPr>
      <w:t>驻马店市中心医院2025年监护除颤类、血压计类、理疗类、医用灯泡类常用配件招标项目（二次）采购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11B427"/>
    <w:multiLevelType w:val="singleLevel"/>
    <w:tmpl w:val="8911B427"/>
    <w:lvl w:ilvl="0" w:tentative="0">
      <w:start w:val="3"/>
      <w:numFmt w:val="chineseCounting"/>
      <w:suff w:val="nothing"/>
      <w:lvlText w:val="%1、"/>
      <w:lvlJc w:val="left"/>
      <w:rPr>
        <w:rFonts w:hint="eastAsia"/>
      </w:rPr>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ZTMwNmMyMDcwMThhNDM2NzZhZjYxYzY5Y2VkNzQ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1344"/>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3F46"/>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5500"/>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620FF8"/>
    <w:rsid w:val="01745FBF"/>
    <w:rsid w:val="017E6D95"/>
    <w:rsid w:val="018D0058"/>
    <w:rsid w:val="01976717"/>
    <w:rsid w:val="01D715BE"/>
    <w:rsid w:val="01EB45BC"/>
    <w:rsid w:val="01F04981"/>
    <w:rsid w:val="01F9035B"/>
    <w:rsid w:val="01FA63A5"/>
    <w:rsid w:val="02011C7D"/>
    <w:rsid w:val="02035523"/>
    <w:rsid w:val="021C6E40"/>
    <w:rsid w:val="02222FF2"/>
    <w:rsid w:val="02384FF4"/>
    <w:rsid w:val="023D0B8F"/>
    <w:rsid w:val="023F67A9"/>
    <w:rsid w:val="0247575A"/>
    <w:rsid w:val="025235B1"/>
    <w:rsid w:val="0262674D"/>
    <w:rsid w:val="02747B01"/>
    <w:rsid w:val="027619AC"/>
    <w:rsid w:val="02890D36"/>
    <w:rsid w:val="02C866AB"/>
    <w:rsid w:val="02D92EF7"/>
    <w:rsid w:val="02DA4665"/>
    <w:rsid w:val="02F40325"/>
    <w:rsid w:val="02FA082F"/>
    <w:rsid w:val="031126C4"/>
    <w:rsid w:val="034733B8"/>
    <w:rsid w:val="03475E56"/>
    <w:rsid w:val="0353518A"/>
    <w:rsid w:val="035E4919"/>
    <w:rsid w:val="03675F31"/>
    <w:rsid w:val="036A009A"/>
    <w:rsid w:val="037A734D"/>
    <w:rsid w:val="03844805"/>
    <w:rsid w:val="03845791"/>
    <w:rsid w:val="03A011E9"/>
    <w:rsid w:val="03AE7F27"/>
    <w:rsid w:val="03BD2BCD"/>
    <w:rsid w:val="03CC058D"/>
    <w:rsid w:val="03E017D2"/>
    <w:rsid w:val="03F447E2"/>
    <w:rsid w:val="03F77068"/>
    <w:rsid w:val="03FB660C"/>
    <w:rsid w:val="042E37DB"/>
    <w:rsid w:val="04416C20"/>
    <w:rsid w:val="047968B1"/>
    <w:rsid w:val="04870542"/>
    <w:rsid w:val="04B30F7A"/>
    <w:rsid w:val="050E236F"/>
    <w:rsid w:val="054C0111"/>
    <w:rsid w:val="05545DD3"/>
    <w:rsid w:val="056E2AD6"/>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B110D"/>
    <w:rsid w:val="05EB4481"/>
    <w:rsid w:val="05F17CC7"/>
    <w:rsid w:val="061E7D14"/>
    <w:rsid w:val="06446B44"/>
    <w:rsid w:val="06560AED"/>
    <w:rsid w:val="066469C9"/>
    <w:rsid w:val="066646A1"/>
    <w:rsid w:val="066E164D"/>
    <w:rsid w:val="068E7B23"/>
    <w:rsid w:val="06983B20"/>
    <w:rsid w:val="069A3B66"/>
    <w:rsid w:val="06A869D6"/>
    <w:rsid w:val="06A9264E"/>
    <w:rsid w:val="06B31420"/>
    <w:rsid w:val="06B91765"/>
    <w:rsid w:val="06CA2AD2"/>
    <w:rsid w:val="06CB0D68"/>
    <w:rsid w:val="06CE3071"/>
    <w:rsid w:val="06D33DBA"/>
    <w:rsid w:val="06D73361"/>
    <w:rsid w:val="06E13F9F"/>
    <w:rsid w:val="06FB0AC5"/>
    <w:rsid w:val="06FE7278"/>
    <w:rsid w:val="070D2D5D"/>
    <w:rsid w:val="07104A12"/>
    <w:rsid w:val="07111B8D"/>
    <w:rsid w:val="072C5514"/>
    <w:rsid w:val="0737768A"/>
    <w:rsid w:val="074A5B92"/>
    <w:rsid w:val="075D0147"/>
    <w:rsid w:val="075E3193"/>
    <w:rsid w:val="078E18EB"/>
    <w:rsid w:val="07B10EA5"/>
    <w:rsid w:val="07C510CB"/>
    <w:rsid w:val="07CD6512"/>
    <w:rsid w:val="07CE3FA1"/>
    <w:rsid w:val="07EC2ECB"/>
    <w:rsid w:val="07FE66CB"/>
    <w:rsid w:val="080B4D47"/>
    <w:rsid w:val="081B727D"/>
    <w:rsid w:val="081D2FF5"/>
    <w:rsid w:val="08321601"/>
    <w:rsid w:val="08326375"/>
    <w:rsid w:val="083D5C91"/>
    <w:rsid w:val="0847191F"/>
    <w:rsid w:val="08591DC3"/>
    <w:rsid w:val="08672793"/>
    <w:rsid w:val="08695E80"/>
    <w:rsid w:val="087C4541"/>
    <w:rsid w:val="087E5595"/>
    <w:rsid w:val="08BC0A60"/>
    <w:rsid w:val="08C52D6F"/>
    <w:rsid w:val="08EF0201"/>
    <w:rsid w:val="08F41DE8"/>
    <w:rsid w:val="094840A2"/>
    <w:rsid w:val="09644C54"/>
    <w:rsid w:val="09737462"/>
    <w:rsid w:val="09740A6E"/>
    <w:rsid w:val="099156C3"/>
    <w:rsid w:val="09A33F5B"/>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101C5C"/>
    <w:rsid w:val="0B195776"/>
    <w:rsid w:val="0B34773E"/>
    <w:rsid w:val="0B3B7D65"/>
    <w:rsid w:val="0B434C20"/>
    <w:rsid w:val="0B5F0822"/>
    <w:rsid w:val="0B637D77"/>
    <w:rsid w:val="0B7006C4"/>
    <w:rsid w:val="0B726646"/>
    <w:rsid w:val="0B7606E8"/>
    <w:rsid w:val="0B924545"/>
    <w:rsid w:val="0BAC324F"/>
    <w:rsid w:val="0BC11EE9"/>
    <w:rsid w:val="0BF16C73"/>
    <w:rsid w:val="0BF72F1E"/>
    <w:rsid w:val="0C0A7D34"/>
    <w:rsid w:val="0C0E6A1A"/>
    <w:rsid w:val="0C230DF6"/>
    <w:rsid w:val="0C3152C1"/>
    <w:rsid w:val="0C3957A5"/>
    <w:rsid w:val="0C507E2F"/>
    <w:rsid w:val="0C600D66"/>
    <w:rsid w:val="0C626DA7"/>
    <w:rsid w:val="0C6876AE"/>
    <w:rsid w:val="0C71390F"/>
    <w:rsid w:val="0C720EC8"/>
    <w:rsid w:val="0C942042"/>
    <w:rsid w:val="0C9D50DC"/>
    <w:rsid w:val="0CA5271D"/>
    <w:rsid w:val="0CAC4D10"/>
    <w:rsid w:val="0CC72121"/>
    <w:rsid w:val="0CEE5A21"/>
    <w:rsid w:val="0D05268E"/>
    <w:rsid w:val="0D0646E7"/>
    <w:rsid w:val="0D0C38CA"/>
    <w:rsid w:val="0D206810"/>
    <w:rsid w:val="0D4861FD"/>
    <w:rsid w:val="0D735465"/>
    <w:rsid w:val="0DC577E0"/>
    <w:rsid w:val="0DDC6319"/>
    <w:rsid w:val="0DFE4F67"/>
    <w:rsid w:val="0E0C0D4C"/>
    <w:rsid w:val="0E115DA1"/>
    <w:rsid w:val="0E1409F6"/>
    <w:rsid w:val="0E162D6D"/>
    <w:rsid w:val="0E3E3CC5"/>
    <w:rsid w:val="0E541CA2"/>
    <w:rsid w:val="0E594756"/>
    <w:rsid w:val="0E95596D"/>
    <w:rsid w:val="0EA95502"/>
    <w:rsid w:val="0EAE6205"/>
    <w:rsid w:val="0EAE6579"/>
    <w:rsid w:val="0EAF71BF"/>
    <w:rsid w:val="0ECE6257"/>
    <w:rsid w:val="0EE4129D"/>
    <w:rsid w:val="0F171032"/>
    <w:rsid w:val="0F335E69"/>
    <w:rsid w:val="0F372614"/>
    <w:rsid w:val="0F3D59C9"/>
    <w:rsid w:val="0F516D5A"/>
    <w:rsid w:val="0F565B36"/>
    <w:rsid w:val="0F684933"/>
    <w:rsid w:val="0F6E2388"/>
    <w:rsid w:val="0F821E7D"/>
    <w:rsid w:val="0FCA42ED"/>
    <w:rsid w:val="0FDB5F4F"/>
    <w:rsid w:val="0FE7592C"/>
    <w:rsid w:val="0FFC17A5"/>
    <w:rsid w:val="0FFD20F0"/>
    <w:rsid w:val="10142F30"/>
    <w:rsid w:val="103E6E57"/>
    <w:rsid w:val="1041497B"/>
    <w:rsid w:val="10425FF6"/>
    <w:rsid w:val="106612B1"/>
    <w:rsid w:val="109010E6"/>
    <w:rsid w:val="1092650A"/>
    <w:rsid w:val="10B271F4"/>
    <w:rsid w:val="10B537CC"/>
    <w:rsid w:val="10C61D50"/>
    <w:rsid w:val="10C8275C"/>
    <w:rsid w:val="10C86D3B"/>
    <w:rsid w:val="10E03539"/>
    <w:rsid w:val="10E82D1F"/>
    <w:rsid w:val="10EE5C94"/>
    <w:rsid w:val="10F5757C"/>
    <w:rsid w:val="10F93ED3"/>
    <w:rsid w:val="111D7BC2"/>
    <w:rsid w:val="113329E7"/>
    <w:rsid w:val="113F294C"/>
    <w:rsid w:val="11437C85"/>
    <w:rsid w:val="11575085"/>
    <w:rsid w:val="1166372C"/>
    <w:rsid w:val="11700D10"/>
    <w:rsid w:val="1178125A"/>
    <w:rsid w:val="118441E0"/>
    <w:rsid w:val="11901058"/>
    <w:rsid w:val="1196056D"/>
    <w:rsid w:val="11CD20A0"/>
    <w:rsid w:val="11D34654"/>
    <w:rsid w:val="12010480"/>
    <w:rsid w:val="120E707F"/>
    <w:rsid w:val="121D0051"/>
    <w:rsid w:val="12413D84"/>
    <w:rsid w:val="127A7D1C"/>
    <w:rsid w:val="12836D8B"/>
    <w:rsid w:val="12993BC0"/>
    <w:rsid w:val="12AB0349"/>
    <w:rsid w:val="12B66520"/>
    <w:rsid w:val="12CD57F1"/>
    <w:rsid w:val="12CE5941"/>
    <w:rsid w:val="12CE7AFA"/>
    <w:rsid w:val="12D67466"/>
    <w:rsid w:val="13036052"/>
    <w:rsid w:val="13272A5D"/>
    <w:rsid w:val="133C40E3"/>
    <w:rsid w:val="13410069"/>
    <w:rsid w:val="13493108"/>
    <w:rsid w:val="134A4EBA"/>
    <w:rsid w:val="13713CFE"/>
    <w:rsid w:val="13733928"/>
    <w:rsid w:val="13741F37"/>
    <w:rsid w:val="13857CA0"/>
    <w:rsid w:val="13920D68"/>
    <w:rsid w:val="139C16C9"/>
    <w:rsid w:val="13A5238E"/>
    <w:rsid w:val="13B63CE1"/>
    <w:rsid w:val="13BC6684"/>
    <w:rsid w:val="13C72B3A"/>
    <w:rsid w:val="13D12EE6"/>
    <w:rsid w:val="13DF575E"/>
    <w:rsid w:val="13E470BD"/>
    <w:rsid w:val="13EE3A98"/>
    <w:rsid w:val="13F3280A"/>
    <w:rsid w:val="142123F7"/>
    <w:rsid w:val="142A11D8"/>
    <w:rsid w:val="144B544C"/>
    <w:rsid w:val="145B7B45"/>
    <w:rsid w:val="14627FE2"/>
    <w:rsid w:val="14717443"/>
    <w:rsid w:val="14825F8A"/>
    <w:rsid w:val="14863CD0"/>
    <w:rsid w:val="148C70AD"/>
    <w:rsid w:val="148D52E3"/>
    <w:rsid w:val="14992B90"/>
    <w:rsid w:val="149F10C7"/>
    <w:rsid w:val="14AF1856"/>
    <w:rsid w:val="14AF19A3"/>
    <w:rsid w:val="14B53957"/>
    <w:rsid w:val="14C53ECE"/>
    <w:rsid w:val="14CF6CB0"/>
    <w:rsid w:val="14D10E8D"/>
    <w:rsid w:val="14DB04C0"/>
    <w:rsid w:val="14DC5FE6"/>
    <w:rsid w:val="14E002E6"/>
    <w:rsid w:val="14FC36BD"/>
    <w:rsid w:val="14FF5EA7"/>
    <w:rsid w:val="15127C5A"/>
    <w:rsid w:val="151E3A0F"/>
    <w:rsid w:val="152534E9"/>
    <w:rsid w:val="153A36AA"/>
    <w:rsid w:val="15477903"/>
    <w:rsid w:val="1557566D"/>
    <w:rsid w:val="156E0971"/>
    <w:rsid w:val="15785B3E"/>
    <w:rsid w:val="15811F1B"/>
    <w:rsid w:val="15A30135"/>
    <w:rsid w:val="15A34015"/>
    <w:rsid w:val="15BB487B"/>
    <w:rsid w:val="15CE086D"/>
    <w:rsid w:val="15E2236F"/>
    <w:rsid w:val="16005D04"/>
    <w:rsid w:val="161D09ED"/>
    <w:rsid w:val="162323A3"/>
    <w:rsid w:val="162F30B1"/>
    <w:rsid w:val="1650762F"/>
    <w:rsid w:val="16510F12"/>
    <w:rsid w:val="166448F9"/>
    <w:rsid w:val="1677211D"/>
    <w:rsid w:val="167954F9"/>
    <w:rsid w:val="169C5A2D"/>
    <w:rsid w:val="169F7296"/>
    <w:rsid w:val="16A060BA"/>
    <w:rsid w:val="16A57EAF"/>
    <w:rsid w:val="16AC6E3F"/>
    <w:rsid w:val="16C872D5"/>
    <w:rsid w:val="16D54FA3"/>
    <w:rsid w:val="16D84D9F"/>
    <w:rsid w:val="16E94D3E"/>
    <w:rsid w:val="170D06E0"/>
    <w:rsid w:val="17233E03"/>
    <w:rsid w:val="17332185"/>
    <w:rsid w:val="17475951"/>
    <w:rsid w:val="175C542D"/>
    <w:rsid w:val="17793FC0"/>
    <w:rsid w:val="179D33A9"/>
    <w:rsid w:val="179F2E61"/>
    <w:rsid w:val="17A06264"/>
    <w:rsid w:val="17BE19D3"/>
    <w:rsid w:val="17C227C0"/>
    <w:rsid w:val="17D66D7C"/>
    <w:rsid w:val="17EE5BFF"/>
    <w:rsid w:val="18097740"/>
    <w:rsid w:val="18136133"/>
    <w:rsid w:val="184055B9"/>
    <w:rsid w:val="184A2082"/>
    <w:rsid w:val="185D3C42"/>
    <w:rsid w:val="185F38AF"/>
    <w:rsid w:val="188F0211"/>
    <w:rsid w:val="18AD1BEB"/>
    <w:rsid w:val="18B3004A"/>
    <w:rsid w:val="18B31B6D"/>
    <w:rsid w:val="18B52DD6"/>
    <w:rsid w:val="18B96080"/>
    <w:rsid w:val="18CE20EA"/>
    <w:rsid w:val="18DB2CD8"/>
    <w:rsid w:val="18E216F1"/>
    <w:rsid w:val="18F67868"/>
    <w:rsid w:val="190B2D88"/>
    <w:rsid w:val="190E6B63"/>
    <w:rsid w:val="19123928"/>
    <w:rsid w:val="19194264"/>
    <w:rsid w:val="19283048"/>
    <w:rsid w:val="19420786"/>
    <w:rsid w:val="19427EC0"/>
    <w:rsid w:val="195711D7"/>
    <w:rsid w:val="195D2A3F"/>
    <w:rsid w:val="198310E9"/>
    <w:rsid w:val="198D747A"/>
    <w:rsid w:val="19A15638"/>
    <w:rsid w:val="19A74DFE"/>
    <w:rsid w:val="19A753EF"/>
    <w:rsid w:val="1A125525"/>
    <w:rsid w:val="1A5F4342"/>
    <w:rsid w:val="1A616E2C"/>
    <w:rsid w:val="1A715D02"/>
    <w:rsid w:val="1A7F369B"/>
    <w:rsid w:val="1A8C5D82"/>
    <w:rsid w:val="1A994988"/>
    <w:rsid w:val="1A9B546C"/>
    <w:rsid w:val="1A9E141F"/>
    <w:rsid w:val="1AA3511F"/>
    <w:rsid w:val="1AAE3B54"/>
    <w:rsid w:val="1AC10987"/>
    <w:rsid w:val="1AEB6F83"/>
    <w:rsid w:val="1AF423FA"/>
    <w:rsid w:val="1B0C5B32"/>
    <w:rsid w:val="1B0D3E82"/>
    <w:rsid w:val="1B1464DA"/>
    <w:rsid w:val="1B1652AB"/>
    <w:rsid w:val="1B181CD5"/>
    <w:rsid w:val="1B265306"/>
    <w:rsid w:val="1B4346C9"/>
    <w:rsid w:val="1B4F2450"/>
    <w:rsid w:val="1B530868"/>
    <w:rsid w:val="1B6573E8"/>
    <w:rsid w:val="1B6922A5"/>
    <w:rsid w:val="1B721452"/>
    <w:rsid w:val="1B8C18B7"/>
    <w:rsid w:val="1BB73AE1"/>
    <w:rsid w:val="1BDA6D68"/>
    <w:rsid w:val="1BF14125"/>
    <w:rsid w:val="1C002CEE"/>
    <w:rsid w:val="1C555978"/>
    <w:rsid w:val="1C6554A1"/>
    <w:rsid w:val="1C7971B7"/>
    <w:rsid w:val="1C917D91"/>
    <w:rsid w:val="1CAB2820"/>
    <w:rsid w:val="1CD402EC"/>
    <w:rsid w:val="1CED16EF"/>
    <w:rsid w:val="1CF02333"/>
    <w:rsid w:val="1D0C33A2"/>
    <w:rsid w:val="1D113E6E"/>
    <w:rsid w:val="1D114E5E"/>
    <w:rsid w:val="1D1F0050"/>
    <w:rsid w:val="1D214EDE"/>
    <w:rsid w:val="1D2222DC"/>
    <w:rsid w:val="1D5144F7"/>
    <w:rsid w:val="1D5B3CDE"/>
    <w:rsid w:val="1D5D0701"/>
    <w:rsid w:val="1D6E2950"/>
    <w:rsid w:val="1D79298C"/>
    <w:rsid w:val="1D98209B"/>
    <w:rsid w:val="1DA23746"/>
    <w:rsid w:val="1DAA14B9"/>
    <w:rsid w:val="1DD04513"/>
    <w:rsid w:val="1DDD2BCB"/>
    <w:rsid w:val="1E0345E3"/>
    <w:rsid w:val="1E1B7B7F"/>
    <w:rsid w:val="1E443370"/>
    <w:rsid w:val="1E656063"/>
    <w:rsid w:val="1E6B06A5"/>
    <w:rsid w:val="1E7554E1"/>
    <w:rsid w:val="1E7F7D9E"/>
    <w:rsid w:val="1E840DA4"/>
    <w:rsid w:val="1EA005F1"/>
    <w:rsid w:val="1EA5444C"/>
    <w:rsid w:val="1EB350EF"/>
    <w:rsid w:val="1EC21749"/>
    <w:rsid w:val="1EEB7C4E"/>
    <w:rsid w:val="1F072441"/>
    <w:rsid w:val="1F171B83"/>
    <w:rsid w:val="1F2D4691"/>
    <w:rsid w:val="1F2D491A"/>
    <w:rsid w:val="1F3F789D"/>
    <w:rsid w:val="1F66355F"/>
    <w:rsid w:val="1F7369C7"/>
    <w:rsid w:val="1F9113A9"/>
    <w:rsid w:val="1F94547B"/>
    <w:rsid w:val="1FA47700"/>
    <w:rsid w:val="1FAF308C"/>
    <w:rsid w:val="1FB64FF9"/>
    <w:rsid w:val="1FC11109"/>
    <w:rsid w:val="1FDA3223"/>
    <w:rsid w:val="1FDE2C12"/>
    <w:rsid w:val="1FEF08C8"/>
    <w:rsid w:val="1FF72E6A"/>
    <w:rsid w:val="1FFB6F12"/>
    <w:rsid w:val="201B3ED4"/>
    <w:rsid w:val="20230F6D"/>
    <w:rsid w:val="20310B02"/>
    <w:rsid w:val="20344F28"/>
    <w:rsid w:val="206F0406"/>
    <w:rsid w:val="207417C9"/>
    <w:rsid w:val="20784063"/>
    <w:rsid w:val="207E346A"/>
    <w:rsid w:val="208E12C3"/>
    <w:rsid w:val="209502A3"/>
    <w:rsid w:val="20EA3839"/>
    <w:rsid w:val="2100305C"/>
    <w:rsid w:val="210F579E"/>
    <w:rsid w:val="21163FF0"/>
    <w:rsid w:val="211B39F2"/>
    <w:rsid w:val="212550B5"/>
    <w:rsid w:val="21592B62"/>
    <w:rsid w:val="2172049B"/>
    <w:rsid w:val="21747CD2"/>
    <w:rsid w:val="219263AA"/>
    <w:rsid w:val="219E5782"/>
    <w:rsid w:val="21D10545"/>
    <w:rsid w:val="21E72B0B"/>
    <w:rsid w:val="21E76A4A"/>
    <w:rsid w:val="21EE607E"/>
    <w:rsid w:val="21F26E49"/>
    <w:rsid w:val="21F66F4C"/>
    <w:rsid w:val="221F2D96"/>
    <w:rsid w:val="22246DB1"/>
    <w:rsid w:val="22440067"/>
    <w:rsid w:val="225A6017"/>
    <w:rsid w:val="22631AF5"/>
    <w:rsid w:val="227A5532"/>
    <w:rsid w:val="22843A03"/>
    <w:rsid w:val="228E5C2C"/>
    <w:rsid w:val="22A338AB"/>
    <w:rsid w:val="22AD37A2"/>
    <w:rsid w:val="22B31E8A"/>
    <w:rsid w:val="22C05285"/>
    <w:rsid w:val="22C735BD"/>
    <w:rsid w:val="22CF0F38"/>
    <w:rsid w:val="22D729A8"/>
    <w:rsid w:val="22F06957"/>
    <w:rsid w:val="23057681"/>
    <w:rsid w:val="23122833"/>
    <w:rsid w:val="231D4917"/>
    <w:rsid w:val="23223458"/>
    <w:rsid w:val="23225D32"/>
    <w:rsid w:val="23241284"/>
    <w:rsid w:val="23357BE6"/>
    <w:rsid w:val="2342574E"/>
    <w:rsid w:val="235A5E54"/>
    <w:rsid w:val="236D1BFA"/>
    <w:rsid w:val="236D331D"/>
    <w:rsid w:val="2377331D"/>
    <w:rsid w:val="237D43DE"/>
    <w:rsid w:val="23940114"/>
    <w:rsid w:val="239A1546"/>
    <w:rsid w:val="23B57016"/>
    <w:rsid w:val="23C4797E"/>
    <w:rsid w:val="23CD5478"/>
    <w:rsid w:val="23D4764B"/>
    <w:rsid w:val="23EC3718"/>
    <w:rsid w:val="23EE304F"/>
    <w:rsid w:val="24044EF2"/>
    <w:rsid w:val="2407139D"/>
    <w:rsid w:val="240B04F4"/>
    <w:rsid w:val="240E369A"/>
    <w:rsid w:val="242A0646"/>
    <w:rsid w:val="2435301D"/>
    <w:rsid w:val="243A0633"/>
    <w:rsid w:val="243D6E1A"/>
    <w:rsid w:val="24453D05"/>
    <w:rsid w:val="24607F91"/>
    <w:rsid w:val="246C581B"/>
    <w:rsid w:val="247C52A2"/>
    <w:rsid w:val="24942917"/>
    <w:rsid w:val="24BC729A"/>
    <w:rsid w:val="24CC106B"/>
    <w:rsid w:val="24D00598"/>
    <w:rsid w:val="24D725E9"/>
    <w:rsid w:val="24EC31CF"/>
    <w:rsid w:val="25045F70"/>
    <w:rsid w:val="250474F1"/>
    <w:rsid w:val="25056E93"/>
    <w:rsid w:val="25092EBA"/>
    <w:rsid w:val="250E5D48"/>
    <w:rsid w:val="25241020"/>
    <w:rsid w:val="25302410"/>
    <w:rsid w:val="257572C3"/>
    <w:rsid w:val="25790E85"/>
    <w:rsid w:val="25972C60"/>
    <w:rsid w:val="25974C6F"/>
    <w:rsid w:val="259D1676"/>
    <w:rsid w:val="25A353EB"/>
    <w:rsid w:val="25B87B65"/>
    <w:rsid w:val="25CB78C3"/>
    <w:rsid w:val="25D54390"/>
    <w:rsid w:val="261879A7"/>
    <w:rsid w:val="261A071C"/>
    <w:rsid w:val="26395046"/>
    <w:rsid w:val="264B0BA4"/>
    <w:rsid w:val="264F4111"/>
    <w:rsid w:val="265E0AEC"/>
    <w:rsid w:val="2661459D"/>
    <w:rsid w:val="268C5256"/>
    <w:rsid w:val="268E455B"/>
    <w:rsid w:val="26912B30"/>
    <w:rsid w:val="269772F0"/>
    <w:rsid w:val="26997893"/>
    <w:rsid w:val="26A30712"/>
    <w:rsid w:val="26AC0C27"/>
    <w:rsid w:val="26C807A6"/>
    <w:rsid w:val="26D1527F"/>
    <w:rsid w:val="26D23F28"/>
    <w:rsid w:val="26DB67BA"/>
    <w:rsid w:val="26E311CD"/>
    <w:rsid w:val="26EF24ED"/>
    <w:rsid w:val="26F1408A"/>
    <w:rsid w:val="26F96584"/>
    <w:rsid w:val="27015370"/>
    <w:rsid w:val="270B421F"/>
    <w:rsid w:val="274E2228"/>
    <w:rsid w:val="27517A93"/>
    <w:rsid w:val="275E53AF"/>
    <w:rsid w:val="276658E8"/>
    <w:rsid w:val="276F6846"/>
    <w:rsid w:val="277E30D2"/>
    <w:rsid w:val="27803F2A"/>
    <w:rsid w:val="278A18D2"/>
    <w:rsid w:val="27983FEE"/>
    <w:rsid w:val="27A34941"/>
    <w:rsid w:val="27A97FAA"/>
    <w:rsid w:val="27EE3A7B"/>
    <w:rsid w:val="282B09BF"/>
    <w:rsid w:val="282E4F00"/>
    <w:rsid w:val="283C23DF"/>
    <w:rsid w:val="283D69F1"/>
    <w:rsid w:val="284C16F5"/>
    <w:rsid w:val="28570AB5"/>
    <w:rsid w:val="285F2CDC"/>
    <w:rsid w:val="28622C36"/>
    <w:rsid w:val="288C2D07"/>
    <w:rsid w:val="289E7E22"/>
    <w:rsid w:val="28C2534B"/>
    <w:rsid w:val="28C5525A"/>
    <w:rsid w:val="28D14B96"/>
    <w:rsid w:val="29020C46"/>
    <w:rsid w:val="290240C7"/>
    <w:rsid w:val="291713AF"/>
    <w:rsid w:val="291A2B97"/>
    <w:rsid w:val="29274EE0"/>
    <w:rsid w:val="294F692F"/>
    <w:rsid w:val="295029E3"/>
    <w:rsid w:val="29543A59"/>
    <w:rsid w:val="29670ED3"/>
    <w:rsid w:val="2969197F"/>
    <w:rsid w:val="29746E87"/>
    <w:rsid w:val="297939AC"/>
    <w:rsid w:val="297C03C2"/>
    <w:rsid w:val="299573AB"/>
    <w:rsid w:val="29B05804"/>
    <w:rsid w:val="29BE5BD0"/>
    <w:rsid w:val="29C01572"/>
    <w:rsid w:val="29C25353"/>
    <w:rsid w:val="29CA4207"/>
    <w:rsid w:val="29D82DC8"/>
    <w:rsid w:val="29DB6414"/>
    <w:rsid w:val="29E74CE2"/>
    <w:rsid w:val="2A133E00"/>
    <w:rsid w:val="2A241B69"/>
    <w:rsid w:val="2A306A36"/>
    <w:rsid w:val="2A457300"/>
    <w:rsid w:val="2A5372C6"/>
    <w:rsid w:val="2A5A558B"/>
    <w:rsid w:val="2A5B03D8"/>
    <w:rsid w:val="2A6F6D07"/>
    <w:rsid w:val="2A882500"/>
    <w:rsid w:val="2AA35184"/>
    <w:rsid w:val="2AAB4E76"/>
    <w:rsid w:val="2AB63ABC"/>
    <w:rsid w:val="2AB63D0A"/>
    <w:rsid w:val="2AC31382"/>
    <w:rsid w:val="2AD549F8"/>
    <w:rsid w:val="2AEA74E5"/>
    <w:rsid w:val="2AFB4FC0"/>
    <w:rsid w:val="2B003D00"/>
    <w:rsid w:val="2B074D5E"/>
    <w:rsid w:val="2B0A6991"/>
    <w:rsid w:val="2B100BA9"/>
    <w:rsid w:val="2B1B5825"/>
    <w:rsid w:val="2B1E3AFC"/>
    <w:rsid w:val="2B574FD9"/>
    <w:rsid w:val="2B681F2A"/>
    <w:rsid w:val="2B8D373E"/>
    <w:rsid w:val="2B967CE2"/>
    <w:rsid w:val="2B9E4F56"/>
    <w:rsid w:val="2BDB5A88"/>
    <w:rsid w:val="2BDB6BA0"/>
    <w:rsid w:val="2BE91C37"/>
    <w:rsid w:val="2BEC3F72"/>
    <w:rsid w:val="2C083572"/>
    <w:rsid w:val="2C185F94"/>
    <w:rsid w:val="2C1F1AC4"/>
    <w:rsid w:val="2C2945BA"/>
    <w:rsid w:val="2C2E71FC"/>
    <w:rsid w:val="2C3F3A41"/>
    <w:rsid w:val="2C4431C4"/>
    <w:rsid w:val="2C55747C"/>
    <w:rsid w:val="2C62059F"/>
    <w:rsid w:val="2C6634FA"/>
    <w:rsid w:val="2C7843EE"/>
    <w:rsid w:val="2CA25191"/>
    <w:rsid w:val="2CAC022C"/>
    <w:rsid w:val="2CC11807"/>
    <w:rsid w:val="2CC66CD6"/>
    <w:rsid w:val="2CE327BC"/>
    <w:rsid w:val="2CF16074"/>
    <w:rsid w:val="2CF81D1B"/>
    <w:rsid w:val="2D3F2453"/>
    <w:rsid w:val="2D835174"/>
    <w:rsid w:val="2D9331F9"/>
    <w:rsid w:val="2DD90B7B"/>
    <w:rsid w:val="2DDD3FC1"/>
    <w:rsid w:val="2DEA131C"/>
    <w:rsid w:val="2DF701D8"/>
    <w:rsid w:val="2DF970A1"/>
    <w:rsid w:val="2E0665A9"/>
    <w:rsid w:val="2E085834"/>
    <w:rsid w:val="2E1034F8"/>
    <w:rsid w:val="2E112405"/>
    <w:rsid w:val="2E120D8E"/>
    <w:rsid w:val="2E310CF9"/>
    <w:rsid w:val="2E443652"/>
    <w:rsid w:val="2E505773"/>
    <w:rsid w:val="2E5C0A3D"/>
    <w:rsid w:val="2E742F70"/>
    <w:rsid w:val="2E9574DA"/>
    <w:rsid w:val="2E9A689E"/>
    <w:rsid w:val="2ED61D9E"/>
    <w:rsid w:val="2EDC2A13"/>
    <w:rsid w:val="2EFD7DB9"/>
    <w:rsid w:val="2F1A081D"/>
    <w:rsid w:val="2F1C72B3"/>
    <w:rsid w:val="2F1E3DC0"/>
    <w:rsid w:val="2F2D326E"/>
    <w:rsid w:val="2F3112DE"/>
    <w:rsid w:val="2F3B6922"/>
    <w:rsid w:val="2F3D7B25"/>
    <w:rsid w:val="2F480119"/>
    <w:rsid w:val="2F506C6D"/>
    <w:rsid w:val="2F512253"/>
    <w:rsid w:val="2F51291F"/>
    <w:rsid w:val="2F55758A"/>
    <w:rsid w:val="2F68074A"/>
    <w:rsid w:val="2F7F15AE"/>
    <w:rsid w:val="2F912594"/>
    <w:rsid w:val="2FA54796"/>
    <w:rsid w:val="2FA674E2"/>
    <w:rsid w:val="2FFE7D49"/>
    <w:rsid w:val="3002294D"/>
    <w:rsid w:val="3011153D"/>
    <w:rsid w:val="30142680"/>
    <w:rsid w:val="302A11B1"/>
    <w:rsid w:val="302A5C42"/>
    <w:rsid w:val="30662043"/>
    <w:rsid w:val="3083092C"/>
    <w:rsid w:val="30930D2E"/>
    <w:rsid w:val="30B8125D"/>
    <w:rsid w:val="30BF439A"/>
    <w:rsid w:val="30CF6A37"/>
    <w:rsid w:val="30D250CF"/>
    <w:rsid w:val="30E7260A"/>
    <w:rsid w:val="30FF6E8C"/>
    <w:rsid w:val="31002970"/>
    <w:rsid w:val="311016AD"/>
    <w:rsid w:val="31220DA0"/>
    <w:rsid w:val="3136622A"/>
    <w:rsid w:val="31393501"/>
    <w:rsid w:val="3139422E"/>
    <w:rsid w:val="31496359"/>
    <w:rsid w:val="314D19A6"/>
    <w:rsid w:val="316177A4"/>
    <w:rsid w:val="31700E4B"/>
    <w:rsid w:val="3172683C"/>
    <w:rsid w:val="318F773E"/>
    <w:rsid w:val="31A359FC"/>
    <w:rsid w:val="31AD0D61"/>
    <w:rsid w:val="31C42968"/>
    <w:rsid w:val="31CD297B"/>
    <w:rsid w:val="31CD73BD"/>
    <w:rsid w:val="31D66571"/>
    <w:rsid w:val="31DB4220"/>
    <w:rsid w:val="31DC56CD"/>
    <w:rsid w:val="31E63B94"/>
    <w:rsid w:val="31F27AF7"/>
    <w:rsid w:val="31FA74CA"/>
    <w:rsid w:val="32176602"/>
    <w:rsid w:val="322A7699"/>
    <w:rsid w:val="322B25C6"/>
    <w:rsid w:val="32422E70"/>
    <w:rsid w:val="324B1648"/>
    <w:rsid w:val="325E56C6"/>
    <w:rsid w:val="3275698A"/>
    <w:rsid w:val="327C0679"/>
    <w:rsid w:val="32943B86"/>
    <w:rsid w:val="32A93829"/>
    <w:rsid w:val="32B943EC"/>
    <w:rsid w:val="32B9519B"/>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939C5"/>
    <w:rsid w:val="33DD0306"/>
    <w:rsid w:val="33FD722F"/>
    <w:rsid w:val="3400362D"/>
    <w:rsid w:val="340B09C5"/>
    <w:rsid w:val="341E4CAB"/>
    <w:rsid w:val="34584EE2"/>
    <w:rsid w:val="347A1C51"/>
    <w:rsid w:val="347D373F"/>
    <w:rsid w:val="34922A93"/>
    <w:rsid w:val="34956481"/>
    <w:rsid w:val="34963664"/>
    <w:rsid w:val="34A35871"/>
    <w:rsid w:val="34C06C9D"/>
    <w:rsid w:val="34DF24AE"/>
    <w:rsid w:val="351C4931"/>
    <w:rsid w:val="351C4EAC"/>
    <w:rsid w:val="351D4C26"/>
    <w:rsid w:val="352E7D40"/>
    <w:rsid w:val="35361A77"/>
    <w:rsid w:val="35461A22"/>
    <w:rsid w:val="35483CC9"/>
    <w:rsid w:val="354B08F2"/>
    <w:rsid w:val="356E46AA"/>
    <w:rsid w:val="357235B0"/>
    <w:rsid w:val="3578502D"/>
    <w:rsid w:val="3586192A"/>
    <w:rsid w:val="35A815CB"/>
    <w:rsid w:val="35A85BD0"/>
    <w:rsid w:val="35AA1B9C"/>
    <w:rsid w:val="35D501BC"/>
    <w:rsid w:val="35DB09A6"/>
    <w:rsid w:val="36080591"/>
    <w:rsid w:val="3609472F"/>
    <w:rsid w:val="36203B2D"/>
    <w:rsid w:val="365B4B65"/>
    <w:rsid w:val="369B4CF0"/>
    <w:rsid w:val="36D62629"/>
    <w:rsid w:val="36D76172"/>
    <w:rsid w:val="36D84407"/>
    <w:rsid w:val="36E833BB"/>
    <w:rsid w:val="36EB1E1B"/>
    <w:rsid w:val="36F17F0D"/>
    <w:rsid w:val="37103BA1"/>
    <w:rsid w:val="37224581"/>
    <w:rsid w:val="3735197D"/>
    <w:rsid w:val="373756A2"/>
    <w:rsid w:val="375E0DA6"/>
    <w:rsid w:val="377639AE"/>
    <w:rsid w:val="378142CB"/>
    <w:rsid w:val="378B61A6"/>
    <w:rsid w:val="37B90F0B"/>
    <w:rsid w:val="37CD3F98"/>
    <w:rsid w:val="37DF75BA"/>
    <w:rsid w:val="37E148E2"/>
    <w:rsid w:val="37F848EE"/>
    <w:rsid w:val="37F912FC"/>
    <w:rsid w:val="380D59EE"/>
    <w:rsid w:val="381D3ACF"/>
    <w:rsid w:val="38304889"/>
    <w:rsid w:val="3836588A"/>
    <w:rsid w:val="38382675"/>
    <w:rsid w:val="383B7B0D"/>
    <w:rsid w:val="3848553B"/>
    <w:rsid w:val="3851700B"/>
    <w:rsid w:val="385246B6"/>
    <w:rsid w:val="3876113B"/>
    <w:rsid w:val="38A53DB7"/>
    <w:rsid w:val="38BF3388"/>
    <w:rsid w:val="38CC268D"/>
    <w:rsid w:val="38DF1FDA"/>
    <w:rsid w:val="38EC2960"/>
    <w:rsid w:val="390069DD"/>
    <w:rsid w:val="39030CF9"/>
    <w:rsid w:val="39091F35"/>
    <w:rsid w:val="392536E2"/>
    <w:rsid w:val="39465F15"/>
    <w:rsid w:val="394E4669"/>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747EDD"/>
    <w:rsid w:val="3A923AE4"/>
    <w:rsid w:val="3AA50E25"/>
    <w:rsid w:val="3AC566E3"/>
    <w:rsid w:val="3AD6747A"/>
    <w:rsid w:val="3AD95C48"/>
    <w:rsid w:val="3ADF5D0A"/>
    <w:rsid w:val="3B312338"/>
    <w:rsid w:val="3B3C5B77"/>
    <w:rsid w:val="3B3D0FF2"/>
    <w:rsid w:val="3B501351"/>
    <w:rsid w:val="3B521A18"/>
    <w:rsid w:val="3B8D2B96"/>
    <w:rsid w:val="3B923660"/>
    <w:rsid w:val="3BCA44BE"/>
    <w:rsid w:val="3C061F3A"/>
    <w:rsid w:val="3C0A04F9"/>
    <w:rsid w:val="3C495480"/>
    <w:rsid w:val="3C4C3A42"/>
    <w:rsid w:val="3C6F0167"/>
    <w:rsid w:val="3C71667B"/>
    <w:rsid w:val="3C914F3B"/>
    <w:rsid w:val="3CC17F13"/>
    <w:rsid w:val="3CD50B40"/>
    <w:rsid w:val="3CE320A3"/>
    <w:rsid w:val="3CE9196C"/>
    <w:rsid w:val="3CF15105"/>
    <w:rsid w:val="3D0C04B9"/>
    <w:rsid w:val="3D1414C5"/>
    <w:rsid w:val="3D1C763E"/>
    <w:rsid w:val="3D201AA5"/>
    <w:rsid w:val="3D2B37EA"/>
    <w:rsid w:val="3D2F7FF3"/>
    <w:rsid w:val="3D3D1507"/>
    <w:rsid w:val="3D62085B"/>
    <w:rsid w:val="3D6B12FD"/>
    <w:rsid w:val="3D7B4622"/>
    <w:rsid w:val="3D8E5820"/>
    <w:rsid w:val="3D942E29"/>
    <w:rsid w:val="3DA53531"/>
    <w:rsid w:val="3DB54E0C"/>
    <w:rsid w:val="3DB900C1"/>
    <w:rsid w:val="3DE51866"/>
    <w:rsid w:val="3DE91725"/>
    <w:rsid w:val="3DF159B1"/>
    <w:rsid w:val="3E135D25"/>
    <w:rsid w:val="3E1A106E"/>
    <w:rsid w:val="3E36303B"/>
    <w:rsid w:val="3E526044"/>
    <w:rsid w:val="3E5C591E"/>
    <w:rsid w:val="3E6C2B3A"/>
    <w:rsid w:val="3E8C5311"/>
    <w:rsid w:val="3E8E7E55"/>
    <w:rsid w:val="3EA00A69"/>
    <w:rsid w:val="3EB61473"/>
    <w:rsid w:val="3EC66011"/>
    <w:rsid w:val="3ED25BE0"/>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5F34A4"/>
    <w:rsid w:val="40765D15"/>
    <w:rsid w:val="407B4FC1"/>
    <w:rsid w:val="407F2DE9"/>
    <w:rsid w:val="40866C82"/>
    <w:rsid w:val="40920B61"/>
    <w:rsid w:val="40953369"/>
    <w:rsid w:val="40991379"/>
    <w:rsid w:val="409B3C3D"/>
    <w:rsid w:val="40F701DF"/>
    <w:rsid w:val="40FD480A"/>
    <w:rsid w:val="411B59C4"/>
    <w:rsid w:val="412A32F8"/>
    <w:rsid w:val="41320BB8"/>
    <w:rsid w:val="417F433E"/>
    <w:rsid w:val="41881A54"/>
    <w:rsid w:val="418A1D66"/>
    <w:rsid w:val="419C4043"/>
    <w:rsid w:val="41B7239D"/>
    <w:rsid w:val="41D852BC"/>
    <w:rsid w:val="41FF3845"/>
    <w:rsid w:val="420E33D3"/>
    <w:rsid w:val="421104A9"/>
    <w:rsid w:val="42143B88"/>
    <w:rsid w:val="42164586"/>
    <w:rsid w:val="424C7A58"/>
    <w:rsid w:val="424E1A22"/>
    <w:rsid w:val="425B5DD1"/>
    <w:rsid w:val="4260300C"/>
    <w:rsid w:val="42755200"/>
    <w:rsid w:val="42772802"/>
    <w:rsid w:val="427C799E"/>
    <w:rsid w:val="42800B9B"/>
    <w:rsid w:val="4281223D"/>
    <w:rsid w:val="42A06B6C"/>
    <w:rsid w:val="42A27996"/>
    <w:rsid w:val="42A45E72"/>
    <w:rsid w:val="42AA04E2"/>
    <w:rsid w:val="42DC4D92"/>
    <w:rsid w:val="42EA5650"/>
    <w:rsid w:val="431408DA"/>
    <w:rsid w:val="431B7C78"/>
    <w:rsid w:val="4331401E"/>
    <w:rsid w:val="43486FC5"/>
    <w:rsid w:val="43591DDA"/>
    <w:rsid w:val="435A0DF2"/>
    <w:rsid w:val="436C42E1"/>
    <w:rsid w:val="437102E7"/>
    <w:rsid w:val="437C210F"/>
    <w:rsid w:val="43847F02"/>
    <w:rsid w:val="438F113C"/>
    <w:rsid w:val="439E7EFB"/>
    <w:rsid w:val="43B1568A"/>
    <w:rsid w:val="43B64E08"/>
    <w:rsid w:val="43BD7F58"/>
    <w:rsid w:val="43D43ECA"/>
    <w:rsid w:val="43DD452F"/>
    <w:rsid w:val="43DE6CD4"/>
    <w:rsid w:val="43E51150"/>
    <w:rsid w:val="43EF28BB"/>
    <w:rsid w:val="43EF56D3"/>
    <w:rsid w:val="43F47D80"/>
    <w:rsid w:val="44095C00"/>
    <w:rsid w:val="440A6FD2"/>
    <w:rsid w:val="442A1797"/>
    <w:rsid w:val="44366C11"/>
    <w:rsid w:val="444946CA"/>
    <w:rsid w:val="444B3F54"/>
    <w:rsid w:val="4476661F"/>
    <w:rsid w:val="447E3AC5"/>
    <w:rsid w:val="44805ED4"/>
    <w:rsid w:val="448E5DEE"/>
    <w:rsid w:val="449E4142"/>
    <w:rsid w:val="44A90BAA"/>
    <w:rsid w:val="44B24A20"/>
    <w:rsid w:val="44BC0BEE"/>
    <w:rsid w:val="44BF6C07"/>
    <w:rsid w:val="44C55A88"/>
    <w:rsid w:val="44FB1C9C"/>
    <w:rsid w:val="45392A13"/>
    <w:rsid w:val="453E3FCF"/>
    <w:rsid w:val="454F1836"/>
    <w:rsid w:val="45887B45"/>
    <w:rsid w:val="458B66DF"/>
    <w:rsid w:val="45940F0E"/>
    <w:rsid w:val="45AC5DBA"/>
    <w:rsid w:val="45C647AF"/>
    <w:rsid w:val="45DD529D"/>
    <w:rsid w:val="45E57886"/>
    <w:rsid w:val="45E945CC"/>
    <w:rsid w:val="46003076"/>
    <w:rsid w:val="46026F63"/>
    <w:rsid w:val="46177E29"/>
    <w:rsid w:val="46205B7F"/>
    <w:rsid w:val="462A6010"/>
    <w:rsid w:val="465D501C"/>
    <w:rsid w:val="466367DB"/>
    <w:rsid w:val="46686D18"/>
    <w:rsid w:val="466D15DA"/>
    <w:rsid w:val="46BF7E28"/>
    <w:rsid w:val="46C3037C"/>
    <w:rsid w:val="46EF26BD"/>
    <w:rsid w:val="46FF15E0"/>
    <w:rsid w:val="4700581C"/>
    <w:rsid w:val="4702516A"/>
    <w:rsid w:val="4724600B"/>
    <w:rsid w:val="472E597E"/>
    <w:rsid w:val="474A4B33"/>
    <w:rsid w:val="47665A15"/>
    <w:rsid w:val="47677941"/>
    <w:rsid w:val="477F1660"/>
    <w:rsid w:val="4788232A"/>
    <w:rsid w:val="478B0398"/>
    <w:rsid w:val="478F5D0B"/>
    <w:rsid w:val="479D5A47"/>
    <w:rsid w:val="47A11E6C"/>
    <w:rsid w:val="47A31F5F"/>
    <w:rsid w:val="47A84BA6"/>
    <w:rsid w:val="47B52444"/>
    <w:rsid w:val="47B8724E"/>
    <w:rsid w:val="47ED7BCA"/>
    <w:rsid w:val="48016F34"/>
    <w:rsid w:val="480556DB"/>
    <w:rsid w:val="48185C56"/>
    <w:rsid w:val="48254C34"/>
    <w:rsid w:val="48450F81"/>
    <w:rsid w:val="48455675"/>
    <w:rsid w:val="484E729D"/>
    <w:rsid w:val="48566773"/>
    <w:rsid w:val="485A23C2"/>
    <w:rsid w:val="48691107"/>
    <w:rsid w:val="48895289"/>
    <w:rsid w:val="48A16B62"/>
    <w:rsid w:val="48A71E8C"/>
    <w:rsid w:val="48BC6222"/>
    <w:rsid w:val="48C245E9"/>
    <w:rsid w:val="48DB312A"/>
    <w:rsid w:val="48DF49D9"/>
    <w:rsid w:val="492108CC"/>
    <w:rsid w:val="49413F52"/>
    <w:rsid w:val="494F6304"/>
    <w:rsid w:val="4A05334F"/>
    <w:rsid w:val="4A060864"/>
    <w:rsid w:val="4A244932"/>
    <w:rsid w:val="4A2922C8"/>
    <w:rsid w:val="4A4117B2"/>
    <w:rsid w:val="4A4A6F73"/>
    <w:rsid w:val="4A7A4350"/>
    <w:rsid w:val="4A7B1703"/>
    <w:rsid w:val="4A7E2497"/>
    <w:rsid w:val="4A896826"/>
    <w:rsid w:val="4AAD305D"/>
    <w:rsid w:val="4ABF5E17"/>
    <w:rsid w:val="4ACB00B3"/>
    <w:rsid w:val="4ACF7478"/>
    <w:rsid w:val="4AD52CE0"/>
    <w:rsid w:val="4AE01A66"/>
    <w:rsid w:val="4AE104D6"/>
    <w:rsid w:val="4AE724D1"/>
    <w:rsid w:val="4AE77140"/>
    <w:rsid w:val="4AEA4061"/>
    <w:rsid w:val="4AEB3612"/>
    <w:rsid w:val="4AED707B"/>
    <w:rsid w:val="4AFA2F07"/>
    <w:rsid w:val="4B015D61"/>
    <w:rsid w:val="4B0B7979"/>
    <w:rsid w:val="4B1530DD"/>
    <w:rsid w:val="4B520DF4"/>
    <w:rsid w:val="4B603107"/>
    <w:rsid w:val="4B7A5635"/>
    <w:rsid w:val="4B8E10E1"/>
    <w:rsid w:val="4B9802B0"/>
    <w:rsid w:val="4B9E65BE"/>
    <w:rsid w:val="4B9F33A8"/>
    <w:rsid w:val="4BA44460"/>
    <w:rsid w:val="4BA80AFD"/>
    <w:rsid w:val="4BB033BA"/>
    <w:rsid w:val="4BB469AD"/>
    <w:rsid w:val="4BC06040"/>
    <w:rsid w:val="4BC66ACD"/>
    <w:rsid w:val="4BCF5981"/>
    <w:rsid w:val="4BF441D2"/>
    <w:rsid w:val="4C1C2A09"/>
    <w:rsid w:val="4C284AD9"/>
    <w:rsid w:val="4C423098"/>
    <w:rsid w:val="4C694192"/>
    <w:rsid w:val="4C7964D9"/>
    <w:rsid w:val="4C8C5620"/>
    <w:rsid w:val="4C9269F6"/>
    <w:rsid w:val="4CB75F07"/>
    <w:rsid w:val="4CC84335"/>
    <w:rsid w:val="4CE9350A"/>
    <w:rsid w:val="4D014937"/>
    <w:rsid w:val="4D1E2466"/>
    <w:rsid w:val="4D225F85"/>
    <w:rsid w:val="4D297BF3"/>
    <w:rsid w:val="4D2D0EAF"/>
    <w:rsid w:val="4D795A49"/>
    <w:rsid w:val="4D7F0082"/>
    <w:rsid w:val="4D952FD9"/>
    <w:rsid w:val="4D970662"/>
    <w:rsid w:val="4D9A1FBF"/>
    <w:rsid w:val="4D9F40B3"/>
    <w:rsid w:val="4DB33393"/>
    <w:rsid w:val="4DBC3CE3"/>
    <w:rsid w:val="4DCB51C5"/>
    <w:rsid w:val="4DCF1E0D"/>
    <w:rsid w:val="4DD632D9"/>
    <w:rsid w:val="4DE05D9E"/>
    <w:rsid w:val="4DE05DF9"/>
    <w:rsid w:val="4DE44800"/>
    <w:rsid w:val="4DEE0709"/>
    <w:rsid w:val="4DEE4101"/>
    <w:rsid w:val="4DF26A56"/>
    <w:rsid w:val="4DFC14EA"/>
    <w:rsid w:val="4DFF6815"/>
    <w:rsid w:val="4E0A3427"/>
    <w:rsid w:val="4E2423AC"/>
    <w:rsid w:val="4E287F63"/>
    <w:rsid w:val="4E304B5D"/>
    <w:rsid w:val="4E3F66C2"/>
    <w:rsid w:val="4E611B8B"/>
    <w:rsid w:val="4E6279D7"/>
    <w:rsid w:val="4E682F8C"/>
    <w:rsid w:val="4E6A7BB7"/>
    <w:rsid w:val="4E6C5D89"/>
    <w:rsid w:val="4E9133C2"/>
    <w:rsid w:val="4EB23220"/>
    <w:rsid w:val="4EE661F8"/>
    <w:rsid w:val="4F0773B4"/>
    <w:rsid w:val="4F241019"/>
    <w:rsid w:val="4F307BB1"/>
    <w:rsid w:val="4F336227"/>
    <w:rsid w:val="4F3C3EF2"/>
    <w:rsid w:val="4F3D562D"/>
    <w:rsid w:val="4F5C4EE0"/>
    <w:rsid w:val="4F681AF1"/>
    <w:rsid w:val="4F6E1972"/>
    <w:rsid w:val="4F943166"/>
    <w:rsid w:val="4F9C19A5"/>
    <w:rsid w:val="4FBA02A1"/>
    <w:rsid w:val="4FE7106E"/>
    <w:rsid w:val="4FF82FCD"/>
    <w:rsid w:val="50053943"/>
    <w:rsid w:val="50260569"/>
    <w:rsid w:val="50374A3C"/>
    <w:rsid w:val="50550E55"/>
    <w:rsid w:val="50901457"/>
    <w:rsid w:val="509F43E4"/>
    <w:rsid w:val="50A54D3E"/>
    <w:rsid w:val="50B82E88"/>
    <w:rsid w:val="50BB32A7"/>
    <w:rsid w:val="50CC5CB2"/>
    <w:rsid w:val="50F1402B"/>
    <w:rsid w:val="50FD2AD9"/>
    <w:rsid w:val="51081E85"/>
    <w:rsid w:val="51097D9A"/>
    <w:rsid w:val="51237D2E"/>
    <w:rsid w:val="515B06D0"/>
    <w:rsid w:val="51764AF1"/>
    <w:rsid w:val="51996737"/>
    <w:rsid w:val="51B408B8"/>
    <w:rsid w:val="51B80848"/>
    <w:rsid w:val="51CC0868"/>
    <w:rsid w:val="51D5340F"/>
    <w:rsid w:val="52382F2A"/>
    <w:rsid w:val="52386E3D"/>
    <w:rsid w:val="523A7DD1"/>
    <w:rsid w:val="523B7711"/>
    <w:rsid w:val="5271774C"/>
    <w:rsid w:val="527A416D"/>
    <w:rsid w:val="528D7B65"/>
    <w:rsid w:val="52DE008D"/>
    <w:rsid w:val="52EE341E"/>
    <w:rsid w:val="52F37FE6"/>
    <w:rsid w:val="52FC1CAF"/>
    <w:rsid w:val="52FE08FA"/>
    <w:rsid w:val="52FF22FE"/>
    <w:rsid w:val="530B071F"/>
    <w:rsid w:val="531A330F"/>
    <w:rsid w:val="532B6CAF"/>
    <w:rsid w:val="53350D91"/>
    <w:rsid w:val="53412644"/>
    <w:rsid w:val="53433903"/>
    <w:rsid w:val="53517A72"/>
    <w:rsid w:val="5361549D"/>
    <w:rsid w:val="536220DA"/>
    <w:rsid w:val="53650637"/>
    <w:rsid w:val="537155BE"/>
    <w:rsid w:val="53757C6B"/>
    <w:rsid w:val="537E1075"/>
    <w:rsid w:val="539A4AC7"/>
    <w:rsid w:val="53A44D07"/>
    <w:rsid w:val="53A46AC8"/>
    <w:rsid w:val="53AB7F1F"/>
    <w:rsid w:val="53AC6F7B"/>
    <w:rsid w:val="53C01F4F"/>
    <w:rsid w:val="53CD3DC9"/>
    <w:rsid w:val="53EB297B"/>
    <w:rsid w:val="53EC4BF7"/>
    <w:rsid w:val="53F758A1"/>
    <w:rsid w:val="540D5A7F"/>
    <w:rsid w:val="542E2BC2"/>
    <w:rsid w:val="54352A96"/>
    <w:rsid w:val="54447390"/>
    <w:rsid w:val="544B514D"/>
    <w:rsid w:val="545E1D01"/>
    <w:rsid w:val="54674051"/>
    <w:rsid w:val="54935B8F"/>
    <w:rsid w:val="54CC6227"/>
    <w:rsid w:val="54D10F9B"/>
    <w:rsid w:val="54D97871"/>
    <w:rsid w:val="550B5550"/>
    <w:rsid w:val="551D586C"/>
    <w:rsid w:val="55200298"/>
    <w:rsid w:val="55335E1B"/>
    <w:rsid w:val="554B7EF0"/>
    <w:rsid w:val="556F3D99"/>
    <w:rsid w:val="55720837"/>
    <w:rsid w:val="55860894"/>
    <w:rsid w:val="558F6181"/>
    <w:rsid w:val="55B02DF1"/>
    <w:rsid w:val="55D47A00"/>
    <w:rsid w:val="55D5456D"/>
    <w:rsid w:val="55DC290C"/>
    <w:rsid w:val="55E71B19"/>
    <w:rsid w:val="55EA5D64"/>
    <w:rsid w:val="55F01FA1"/>
    <w:rsid w:val="55FC19B9"/>
    <w:rsid w:val="56130B60"/>
    <w:rsid w:val="56234F28"/>
    <w:rsid w:val="56990B7C"/>
    <w:rsid w:val="569E1126"/>
    <w:rsid w:val="56A8690E"/>
    <w:rsid w:val="56B679AB"/>
    <w:rsid w:val="56B80DEB"/>
    <w:rsid w:val="56E0560F"/>
    <w:rsid w:val="56E06E61"/>
    <w:rsid w:val="56EF3C74"/>
    <w:rsid w:val="56F653FE"/>
    <w:rsid w:val="574448FC"/>
    <w:rsid w:val="57561D39"/>
    <w:rsid w:val="575B7AFD"/>
    <w:rsid w:val="57660D3F"/>
    <w:rsid w:val="5785783C"/>
    <w:rsid w:val="578F06BB"/>
    <w:rsid w:val="57A35F14"/>
    <w:rsid w:val="57CC4BC2"/>
    <w:rsid w:val="57D10760"/>
    <w:rsid w:val="57D1153D"/>
    <w:rsid w:val="57D77297"/>
    <w:rsid w:val="57FA3774"/>
    <w:rsid w:val="58084A3C"/>
    <w:rsid w:val="582772A7"/>
    <w:rsid w:val="5847689F"/>
    <w:rsid w:val="58531B77"/>
    <w:rsid w:val="585D2975"/>
    <w:rsid w:val="585E3492"/>
    <w:rsid w:val="585F64F9"/>
    <w:rsid w:val="587E3341"/>
    <w:rsid w:val="587F428B"/>
    <w:rsid w:val="58843A9C"/>
    <w:rsid w:val="58B31855"/>
    <w:rsid w:val="58CF56D8"/>
    <w:rsid w:val="58D31010"/>
    <w:rsid w:val="58D6741E"/>
    <w:rsid w:val="58DB0535"/>
    <w:rsid w:val="58E62E0E"/>
    <w:rsid w:val="58EA3D0E"/>
    <w:rsid w:val="58F24A5D"/>
    <w:rsid w:val="58F71269"/>
    <w:rsid w:val="58FE045E"/>
    <w:rsid w:val="59014CEF"/>
    <w:rsid w:val="59561946"/>
    <w:rsid w:val="59670F51"/>
    <w:rsid w:val="596A44F9"/>
    <w:rsid w:val="596C19BB"/>
    <w:rsid w:val="59790BDB"/>
    <w:rsid w:val="597E3F42"/>
    <w:rsid w:val="598653AC"/>
    <w:rsid w:val="59AC3C86"/>
    <w:rsid w:val="59B817D3"/>
    <w:rsid w:val="59C11856"/>
    <w:rsid w:val="59C153AB"/>
    <w:rsid w:val="59D42FDA"/>
    <w:rsid w:val="59DA4E01"/>
    <w:rsid w:val="59F64E82"/>
    <w:rsid w:val="5A0A5DD6"/>
    <w:rsid w:val="5A10435C"/>
    <w:rsid w:val="5A2654CC"/>
    <w:rsid w:val="5A323A44"/>
    <w:rsid w:val="5A395E66"/>
    <w:rsid w:val="5A476FBE"/>
    <w:rsid w:val="5A484352"/>
    <w:rsid w:val="5A5321A5"/>
    <w:rsid w:val="5A783688"/>
    <w:rsid w:val="5A8734AF"/>
    <w:rsid w:val="5A9D3E45"/>
    <w:rsid w:val="5AA4101D"/>
    <w:rsid w:val="5AB17576"/>
    <w:rsid w:val="5ABD68E6"/>
    <w:rsid w:val="5ABF73D2"/>
    <w:rsid w:val="5ACB3D8A"/>
    <w:rsid w:val="5ACE32A8"/>
    <w:rsid w:val="5AE1508F"/>
    <w:rsid w:val="5AF80256"/>
    <w:rsid w:val="5B110CC9"/>
    <w:rsid w:val="5B1F7B5D"/>
    <w:rsid w:val="5B585171"/>
    <w:rsid w:val="5B585B78"/>
    <w:rsid w:val="5B6D62B9"/>
    <w:rsid w:val="5B746CFA"/>
    <w:rsid w:val="5B9A2B59"/>
    <w:rsid w:val="5BA652E6"/>
    <w:rsid w:val="5BC0085A"/>
    <w:rsid w:val="5BE03293"/>
    <w:rsid w:val="5BF03D58"/>
    <w:rsid w:val="5BF20AFB"/>
    <w:rsid w:val="5C1A6BB2"/>
    <w:rsid w:val="5C306D31"/>
    <w:rsid w:val="5C37233A"/>
    <w:rsid w:val="5C5355FE"/>
    <w:rsid w:val="5C5A49A5"/>
    <w:rsid w:val="5C6715FE"/>
    <w:rsid w:val="5C6F4105"/>
    <w:rsid w:val="5CBB7F6F"/>
    <w:rsid w:val="5CC248CE"/>
    <w:rsid w:val="5CDC1CAC"/>
    <w:rsid w:val="5D042FB1"/>
    <w:rsid w:val="5D442CB4"/>
    <w:rsid w:val="5D7C3F11"/>
    <w:rsid w:val="5D971C5A"/>
    <w:rsid w:val="5D9D49E0"/>
    <w:rsid w:val="5DC310BE"/>
    <w:rsid w:val="5DDF1821"/>
    <w:rsid w:val="5DE2656A"/>
    <w:rsid w:val="5DEA2F91"/>
    <w:rsid w:val="5DF94AE0"/>
    <w:rsid w:val="5DFA5883"/>
    <w:rsid w:val="5E224037"/>
    <w:rsid w:val="5E3146A3"/>
    <w:rsid w:val="5E442F62"/>
    <w:rsid w:val="5E6C2C5B"/>
    <w:rsid w:val="5E6E2DD8"/>
    <w:rsid w:val="5E7251A2"/>
    <w:rsid w:val="5E7C3591"/>
    <w:rsid w:val="5E9D0E18"/>
    <w:rsid w:val="5EA26F25"/>
    <w:rsid w:val="5EA341D7"/>
    <w:rsid w:val="5EA755DE"/>
    <w:rsid w:val="5EAE7678"/>
    <w:rsid w:val="5ED35F0E"/>
    <w:rsid w:val="5EDF7832"/>
    <w:rsid w:val="5EFC1390"/>
    <w:rsid w:val="5EFC3EB6"/>
    <w:rsid w:val="5F03335D"/>
    <w:rsid w:val="5F0368C7"/>
    <w:rsid w:val="5F1544E7"/>
    <w:rsid w:val="5F197EE8"/>
    <w:rsid w:val="5F312D8D"/>
    <w:rsid w:val="5F3C4923"/>
    <w:rsid w:val="5F4160B0"/>
    <w:rsid w:val="5F5A7800"/>
    <w:rsid w:val="5F6368E9"/>
    <w:rsid w:val="5F7811D3"/>
    <w:rsid w:val="5F9A65E6"/>
    <w:rsid w:val="5F9B2627"/>
    <w:rsid w:val="5FA66B60"/>
    <w:rsid w:val="5FAC7B1F"/>
    <w:rsid w:val="5FB80E3D"/>
    <w:rsid w:val="5FB831B4"/>
    <w:rsid w:val="5FD40999"/>
    <w:rsid w:val="5FE5522B"/>
    <w:rsid w:val="5FF03F08"/>
    <w:rsid w:val="5FF2548E"/>
    <w:rsid w:val="5FF313D3"/>
    <w:rsid w:val="602610FD"/>
    <w:rsid w:val="602808B2"/>
    <w:rsid w:val="602C2F4B"/>
    <w:rsid w:val="60307A2A"/>
    <w:rsid w:val="603814FF"/>
    <w:rsid w:val="604109A8"/>
    <w:rsid w:val="605D2617"/>
    <w:rsid w:val="60616CDC"/>
    <w:rsid w:val="60624E53"/>
    <w:rsid w:val="606319E5"/>
    <w:rsid w:val="607A77D8"/>
    <w:rsid w:val="607B3C50"/>
    <w:rsid w:val="608B6567"/>
    <w:rsid w:val="60902A4E"/>
    <w:rsid w:val="60AA3E6F"/>
    <w:rsid w:val="60FF21D9"/>
    <w:rsid w:val="610C0686"/>
    <w:rsid w:val="611E37D0"/>
    <w:rsid w:val="613021B3"/>
    <w:rsid w:val="61306A6A"/>
    <w:rsid w:val="613253FD"/>
    <w:rsid w:val="61421F29"/>
    <w:rsid w:val="61712185"/>
    <w:rsid w:val="618B7207"/>
    <w:rsid w:val="61907E69"/>
    <w:rsid w:val="61A90D68"/>
    <w:rsid w:val="61B43A15"/>
    <w:rsid w:val="62065A1D"/>
    <w:rsid w:val="6213792C"/>
    <w:rsid w:val="621775E2"/>
    <w:rsid w:val="621C0D9D"/>
    <w:rsid w:val="622F7552"/>
    <w:rsid w:val="6250406E"/>
    <w:rsid w:val="627D6831"/>
    <w:rsid w:val="62811B1C"/>
    <w:rsid w:val="62A20409"/>
    <w:rsid w:val="62B54B44"/>
    <w:rsid w:val="62E045DA"/>
    <w:rsid w:val="62E454A1"/>
    <w:rsid w:val="62E95123"/>
    <w:rsid w:val="62EF025F"/>
    <w:rsid w:val="62F36E4C"/>
    <w:rsid w:val="62F47F8F"/>
    <w:rsid w:val="62F7233F"/>
    <w:rsid w:val="631F3FB4"/>
    <w:rsid w:val="63364F75"/>
    <w:rsid w:val="6340438B"/>
    <w:rsid w:val="6353238E"/>
    <w:rsid w:val="63612AB8"/>
    <w:rsid w:val="6379289B"/>
    <w:rsid w:val="637D0978"/>
    <w:rsid w:val="638906B4"/>
    <w:rsid w:val="638968B0"/>
    <w:rsid w:val="638A282C"/>
    <w:rsid w:val="63A75341"/>
    <w:rsid w:val="63A85E90"/>
    <w:rsid w:val="63A962DB"/>
    <w:rsid w:val="63AB1A91"/>
    <w:rsid w:val="63B75221"/>
    <w:rsid w:val="63B82D47"/>
    <w:rsid w:val="63C74D38"/>
    <w:rsid w:val="63EA73A4"/>
    <w:rsid w:val="63EE4692"/>
    <w:rsid w:val="63FD622D"/>
    <w:rsid w:val="64177A6E"/>
    <w:rsid w:val="643F32F9"/>
    <w:rsid w:val="64582686"/>
    <w:rsid w:val="64673C87"/>
    <w:rsid w:val="64877733"/>
    <w:rsid w:val="64A170D2"/>
    <w:rsid w:val="64A251DD"/>
    <w:rsid w:val="64BC182A"/>
    <w:rsid w:val="650242F0"/>
    <w:rsid w:val="65365B2B"/>
    <w:rsid w:val="653F447E"/>
    <w:rsid w:val="65542778"/>
    <w:rsid w:val="655829AF"/>
    <w:rsid w:val="656B70C3"/>
    <w:rsid w:val="658F4798"/>
    <w:rsid w:val="659B1EBA"/>
    <w:rsid w:val="65A11CE5"/>
    <w:rsid w:val="65A83379"/>
    <w:rsid w:val="65B461E9"/>
    <w:rsid w:val="65BE39A8"/>
    <w:rsid w:val="65FB3FBE"/>
    <w:rsid w:val="66101A71"/>
    <w:rsid w:val="66247D11"/>
    <w:rsid w:val="663B3EC9"/>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8B726C"/>
    <w:rsid w:val="67B25E27"/>
    <w:rsid w:val="67B4646D"/>
    <w:rsid w:val="67B464CA"/>
    <w:rsid w:val="67C4383B"/>
    <w:rsid w:val="67D35E1A"/>
    <w:rsid w:val="67D839B8"/>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74555"/>
    <w:rsid w:val="690E07C7"/>
    <w:rsid w:val="69236A65"/>
    <w:rsid w:val="692E469B"/>
    <w:rsid w:val="69315C48"/>
    <w:rsid w:val="694019EC"/>
    <w:rsid w:val="694841AF"/>
    <w:rsid w:val="69584DB4"/>
    <w:rsid w:val="695B5B89"/>
    <w:rsid w:val="696C3D80"/>
    <w:rsid w:val="698A5EE4"/>
    <w:rsid w:val="69C811ED"/>
    <w:rsid w:val="69D33070"/>
    <w:rsid w:val="69E97E75"/>
    <w:rsid w:val="69FB5D9E"/>
    <w:rsid w:val="69FF6FDA"/>
    <w:rsid w:val="6A1A3007"/>
    <w:rsid w:val="6A1E645E"/>
    <w:rsid w:val="6A417049"/>
    <w:rsid w:val="6A576E16"/>
    <w:rsid w:val="6A7903E5"/>
    <w:rsid w:val="6A8219B9"/>
    <w:rsid w:val="6A8641F2"/>
    <w:rsid w:val="6A9701A5"/>
    <w:rsid w:val="6AA03032"/>
    <w:rsid w:val="6AA86FEC"/>
    <w:rsid w:val="6ACB20F7"/>
    <w:rsid w:val="6ADA6AC4"/>
    <w:rsid w:val="6ADB11D6"/>
    <w:rsid w:val="6B1A2C3C"/>
    <w:rsid w:val="6B221F4E"/>
    <w:rsid w:val="6B31644D"/>
    <w:rsid w:val="6B486C86"/>
    <w:rsid w:val="6B554C72"/>
    <w:rsid w:val="6B774DF2"/>
    <w:rsid w:val="6B847AD7"/>
    <w:rsid w:val="6B961F07"/>
    <w:rsid w:val="6B9A2DF9"/>
    <w:rsid w:val="6BA56BC7"/>
    <w:rsid w:val="6BAA566B"/>
    <w:rsid w:val="6BAC4619"/>
    <w:rsid w:val="6BB118FD"/>
    <w:rsid w:val="6BC60150"/>
    <w:rsid w:val="6BCD2823"/>
    <w:rsid w:val="6BDD15DD"/>
    <w:rsid w:val="6BDF2966"/>
    <w:rsid w:val="6BE86A5F"/>
    <w:rsid w:val="6C053C7D"/>
    <w:rsid w:val="6C0D357A"/>
    <w:rsid w:val="6C234DED"/>
    <w:rsid w:val="6C29198B"/>
    <w:rsid w:val="6C3A67D1"/>
    <w:rsid w:val="6C3D2D5C"/>
    <w:rsid w:val="6C4800AA"/>
    <w:rsid w:val="6C4D28F8"/>
    <w:rsid w:val="6C573E9C"/>
    <w:rsid w:val="6C5C23DC"/>
    <w:rsid w:val="6C6D1126"/>
    <w:rsid w:val="6C8B4A27"/>
    <w:rsid w:val="6C986334"/>
    <w:rsid w:val="6CA35B3A"/>
    <w:rsid w:val="6CA41A5D"/>
    <w:rsid w:val="6CA479DF"/>
    <w:rsid w:val="6CAF588C"/>
    <w:rsid w:val="6CB4638E"/>
    <w:rsid w:val="6CBF3C6A"/>
    <w:rsid w:val="6CBF5306"/>
    <w:rsid w:val="6CD930DF"/>
    <w:rsid w:val="6CDC1854"/>
    <w:rsid w:val="6CE677BF"/>
    <w:rsid w:val="6CE70FA1"/>
    <w:rsid w:val="6CF05300"/>
    <w:rsid w:val="6CFA6351"/>
    <w:rsid w:val="6CFC3C40"/>
    <w:rsid w:val="6D2F6F7D"/>
    <w:rsid w:val="6D480984"/>
    <w:rsid w:val="6D8079F9"/>
    <w:rsid w:val="6DB13E57"/>
    <w:rsid w:val="6DC245A2"/>
    <w:rsid w:val="6DC71662"/>
    <w:rsid w:val="6DCD5126"/>
    <w:rsid w:val="6DDB6CB0"/>
    <w:rsid w:val="6DE21877"/>
    <w:rsid w:val="6DE52ACD"/>
    <w:rsid w:val="6DFC0B44"/>
    <w:rsid w:val="6E0458E7"/>
    <w:rsid w:val="6E212037"/>
    <w:rsid w:val="6E263D90"/>
    <w:rsid w:val="6E3B221B"/>
    <w:rsid w:val="6E475779"/>
    <w:rsid w:val="6E51424D"/>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6FFD5E0F"/>
    <w:rsid w:val="701021F4"/>
    <w:rsid w:val="701C29A6"/>
    <w:rsid w:val="7024611F"/>
    <w:rsid w:val="7038498C"/>
    <w:rsid w:val="70637B96"/>
    <w:rsid w:val="70797317"/>
    <w:rsid w:val="7099044B"/>
    <w:rsid w:val="709A06E1"/>
    <w:rsid w:val="709D518F"/>
    <w:rsid w:val="70C759D3"/>
    <w:rsid w:val="70CD7E32"/>
    <w:rsid w:val="70CF2B23"/>
    <w:rsid w:val="70D70CB1"/>
    <w:rsid w:val="710952C1"/>
    <w:rsid w:val="713954C7"/>
    <w:rsid w:val="713F70AB"/>
    <w:rsid w:val="71452CD8"/>
    <w:rsid w:val="71583F2D"/>
    <w:rsid w:val="7158683A"/>
    <w:rsid w:val="715B2F52"/>
    <w:rsid w:val="7167680B"/>
    <w:rsid w:val="71764F23"/>
    <w:rsid w:val="71881188"/>
    <w:rsid w:val="71946576"/>
    <w:rsid w:val="71967E84"/>
    <w:rsid w:val="7197629F"/>
    <w:rsid w:val="71A61873"/>
    <w:rsid w:val="71AF4936"/>
    <w:rsid w:val="71B12351"/>
    <w:rsid w:val="71BB4E1E"/>
    <w:rsid w:val="71D07496"/>
    <w:rsid w:val="71D75D0F"/>
    <w:rsid w:val="71F437A4"/>
    <w:rsid w:val="721919B3"/>
    <w:rsid w:val="721A6098"/>
    <w:rsid w:val="721D18D3"/>
    <w:rsid w:val="72310D1A"/>
    <w:rsid w:val="725D6B54"/>
    <w:rsid w:val="72986FA0"/>
    <w:rsid w:val="72A17C99"/>
    <w:rsid w:val="72A5093A"/>
    <w:rsid w:val="72AD7197"/>
    <w:rsid w:val="72AF6F7E"/>
    <w:rsid w:val="72CD226C"/>
    <w:rsid w:val="73047407"/>
    <w:rsid w:val="73047904"/>
    <w:rsid w:val="731A4E85"/>
    <w:rsid w:val="73253EFA"/>
    <w:rsid w:val="734C1A6A"/>
    <w:rsid w:val="735663B7"/>
    <w:rsid w:val="735C5949"/>
    <w:rsid w:val="73671287"/>
    <w:rsid w:val="73737DA5"/>
    <w:rsid w:val="73740A39"/>
    <w:rsid w:val="73783823"/>
    <w:rsid w:val="73887B3E"/>
    <w:rsid w:val="73892412"/>
    <w:rsid w:val="73AF2114"/>
    <w:rsid w:val="73E32F46"/>
    <w:rsid w:val="73E96BCA"/>
    <w:rsid w:val="73EE4A6E"/>
    <w:rsid w:val="741048BC"/>
    <w:rsid w:val="742E78D4"/>
    <w:rsid w:val="74317498"/>
    <w:rsid w:val="74335A84"/>
    <w:rsid w:val="743A6A13"/>
    <w:rsid w:val="74563EFA"/>
    <w:rsid w:val="74676A28"/>
    <w:rsid w:val="747E40B6"/>
    <w:rsid w:val="74AC3224"/>
    <w:rsid w:val="74B21065"/>
    <w:rsid w:val="74BB2C83"/>
    <w:rsid w:val="74C33758"/>
    <w:rsid w:val="74D72451"/>
    <w:rsid w:val="74DE4E5F"/>
    <w:rsid w:val="74EB54AB"/>
    <w:rsid w:val="74F0689A"/>
    <w:rsid w:val="74FF6D43"/>
    <w:rsid w:val="750201A2"/>
    <w:rsid w:val="75137DDD"/>
    <w:rsid w:val="751A76AF"/>
    <w:rsid w:val="75241FEA"/>
    <w:rsid w:val="75250574"/>
    <w:rsid w:val="75306BE1"/>
    <w:rsid w:val="754459E0"/>
    <w:rsid w:val="7550443E"/>
    <w:rsid w:val="755F0BCC"/>
    <w:rsid w:val="7561323F"/>
    <w:rsid w:val="756F17F9"/>
    <w:rsid w:val="757E5B9F"/>
    <w:rsid w:val="757F5473"/>
    <w:rsid w:val="75825461"/>
    <w:rsid w:val="75907680"/>
    <w:rsid w:val="75916599"/>
    <w:rsid w:val="759926FC"/>
    <w:rsid w:val="75A24276"/>
    <w:rsid w:val="75AA231D"/>
    <w:rsid w:val="75AD6340"/>
    <w:rsid w:val="75DF5F11"/>
    <w:rsid w:val="75E8633A"/>
    <w:rsid w:val="76393874"/>
    <w:rsid w:val="763F09AA"/>
    <w:rsid w:val="764F3FCC"/>
    <w:rsid w:val="7650339F"/>
    <w:rsid w:val="76603C9A"/>
    <w:rsid w:val="766B00E5"/>
    <w:rsid w:val="76832D41"/>
    <w:rsid w:val="768B2C28"/>
    <w:rsid w:val="76BB1CAB"/>
    <w:rsid w:val="76C04050"/>
    <w:rsid w:val="76D67314"/>
    <w:rsid w:val="76E00193"/>
    <w:rsid w:val="76E65049"/>
    <w:rsid w:val="77076007"/>
    <w:rsid w:val="771A36A5"/>
    <w:rsid w:val="77413F7E"/>
    <w:rsid w:val="77464076"/>
    <w:rsid w:val="7758241F"/>
    <w:rsid w:val="777A7D22"/>
    <w:rsid w:val="777E28EC"/>
    <w:rsid w:val="77835654"/>
    <w:rsid w:val="7797109C"/>
    <w:rsid w:val="779A2A38"/>
    <w:rsid w:val="77B4450A"/>
    <w:rsid w:val="77B46E73"/>
    <w:rsid w:val="77E37A12"/>
    <w:rsid w:val="77F42148"/>
    <w:rsid w:val="77FE3468"/>
    <w:rsid w:val="78250553"/>
    <w:rsid w:val="783B17B1"/>
    <w:rsid w:val="784E2046"/>
    <w:rsid w:val="78546F0C"/>
    <w:rsid w:val="786778FE"/>
    <w:rsid w:val="789D588A"/>
    <w:rsid w:val="78B65E3A"/>
    <w:rsid w:val="78E0091E"/>
    <w:rsid w:val="78EE1C79"/>
    <w:rsid w:val="78F85605"/>
    <w:rsid w:val="78FA66FA"/>
    <w:rsid w:val="79424F6E"/>
    <w:rsid w:val="795F3706"/>
    <w:rsid w:val="797239CC"/>
    <w:rsid w:val="797F54AB"/>
    <w:rsid w:val="79831473"/>
    <w:rsid w:val="79976421"/>
    <w:rsid w:val="79983E9C"/>
    <w:rsid w:val="7999527A"/>
    <w:rsid w:val="79AF76C5"/>
    <w:rsid w:val="79C25EE1"/>
    <w:rsid w:val="79CE2967"/>
    <w:rsid w:val="79D3175D"/>
    <w:rsid w:val="79E30EE8"/>
    <w:rsid w:val="79E34934"/>
    <w:rsid w:val="79EA664C"/>
    <w:rsid w:val="79F9627A"/>
    <w:rsid w:val="79FF6948"/>
    <w:rsid w:val="7A0657CF"/>
    <w:rsid w:val="7A2F3BBF"/>
    <w:rsid w:val="7A2F459A"/>
    <w:rsid w:val="7A322A39"/>
    <w:rsid w:val="7A517022"/>
    <w:rsid w:val="7A611EC9"/>
    <w:rsid w:val="7A6F5001"/>
    <w:rsid w:val="7A7720A0"/>
    <w:rsid w:val="7A9635B3"/>
    <w:rsid w:val="7AA2343E"/>
    <w:rsid w:val="7AD60EB8"/>
    <w:rsid w:val="7ADA73A4"/>
    <w:rsid w:val="7AE66B99"/>
    <w:rsid w:val="7AF34646"/>
    <w:rsid w:val="7AFE508C"/>
    <w:rsid w:val="7B0A3BCA"/>
    <w:rsid w:val="7B1C0EF4"/>
    <w:rsid w:val="7B345AA9"/>
    <w:rsid w:val="7B4048C1"/>
    <w:rsid w:val="7B4C5DF7"/>
    <w:rsid w:val="7B73082F"/>
    <w:rsid w:val="7B7B492E"/>
    <w:rsid w:val="7B9A3D1D"/>
    <w:rsid w:val="7BB46FBD"/>
    <w:rsid w:val="7BC62E00"/>
    <w:rsid w:val="7BC73B55"/>
    <w:rsid w:val="7BE35E2A"/>
    <w:rsid w:val="7BF538C2"/>
    <w:rsid w:val="7BF66C24"/>
    <w:rsid w:val="7BFA1CC7"/>
    <w:rsid w:val="7BFB70B3"/>
    <w:rsid w:val="7C0251DA"/>
    <w:rsid w:val="7C0C0E4A"/>
    <w:rsid w:val="7C0E41D1"/>
    <w:rsid w:val="7C1052F2"/>
    <w:rsid w:val="7C21292C"/>
    <w:rsid w:val="7C2668D9"/>
    <w:rsid w:val="7C32497F"/>
    <w:rsid w:val="7C3C69AE"/>
    <w:rsid w:val="7C691974"/>
    <w:rsid w:val="7C8A6570"/>
    <w:rsid w:val="7C8B7390"/>
    <w:rsid w:val="7C9B0D0E"/>
    <w:rsid w:val="7CA42B03"/>
    <w:rsid w:val="7CC55E61"/>
    <w:rsid w:val="7CCC5441"/>
    <w:rsid w:val="7CD2318A"/>
    <w:rsid w:val="7CD2702A"/>
    <w:rsid w:val="7CD34C42"/>
    <w:rsid w:val="7CD46B29"/>
    <w:rsid w:val="7CDE3FF9"/>
    <w:rsid w:val="7CE26EBF"/>
    <w:rsid w:val="7CEE3130"/>
    <w:rsid w:val="7CFC08E8"/>
    <w:rsid w:val="7D1F6674"/>
    <w:rsid w:val="7D475E29"/>
    <w:rsid w:val="7D480B34"/>
    <w:rsid w:val="7D777A3E"/>
    <w:rsid w:val="7D9005BC"/>
    <w:rsid w:val="7D9F0AD0"/>
    <w:rsid w:val="7DD12BB7"/>
    <w:rsid w:val="7DF223A2"/>
    <w:rsid w:val="7DFF0955"/>
    <w:rsid w:val="7E0B750E"/>
    <w:rsid w:val="7E1939E8"/>
    <w:rsid w:val="7E2400E7"/>
    <w:rsid w:val="7E2822EA"/>
    <w:rsid w:val="7E2A20CE"/>
    <w:rsid w:val="7E355A7B"/>
    <w:rsid w:val="7E455322"/>
    <w:rsid w:val="7E6E3E85"/>
    <w:rsid w:val="7E991353"/>
    <w:rsid w:val="7E9C184B"/>
    <w:rsid w:val="7EA72948"/>
    <w:rsid w:val="7EB31EDB"/>
    <w:rsid w:val="7ED61132"/>
    <w:rsid w:val="7EE70CC0"/>
    <w:rsid w:val="7EEB48DB"/>
    <w:rsid w:val="7EF27444"/>
    <w:rsid w:val="7F185A04"/>
    <w:rsid w:val="7F265C58"/>
    <w:rsid w:val="7F4C4618"/>
    <w:rsid w:val="7F4D13A6"/>
    <w:rsid w:val="7F582CF2"/>
    <w:rsid w:val="7F951B40"/>
    <w:rsid w:val="7FA501CC"/>
    <w:rsid w:val="7FA820A8"/>
    <w:rsid w:val="7FAF2DF8"/>
    <w:rsid w:val="7FB90D50"/>
    <w:rsid w:val="7FBF10B0"/>
    <w:rsid w:val="7FCB374B"/>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paragraph" w:styleId="8">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4"/>
    <w:autoRedefine/>
    <w:qFormat/>
    <w:uiPriority w:val="0"/>
  </w:style>
  <w:style w:type="paragraph" w:customStyle="1" w:styleId="4">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9">
    <w:name w:val="List Number"/>
    <w:basedOn w:val="1"/>
    <w:autoRedefine/>
    <w:qFormat/>
    <w:uiPriority w:val="0"/>
    <w:pPr>
      <w:widowControl/>
      <w:spacing w:beforeAutospacing="1" w:afterAutospacing="1"/>
      <w:jc w:val="left"/>
    </w:pPr>
    <w:rPr>
      <w:rFonts w:ascii="宋体" w:hAnsi="宋体" w:cs="宋体"/>
      <w:kern w:val="0"/>
      <w:sz w:val="24"/>
    </w:rPr>
  </w:style>
  <w:style w:type="paragraph" w:styleId="10">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1">
    <w:name w:val="Document Map"/>
    <w:basedOn w:val="1"/>
    <w:link w:val="76"/>
    <w:autoRedefine/>
    <w:qFormat/>
    <w:uiPriority w:val="0"/>
    <w:rPr>
      <w:rFonts w:ascii="宋体" w:hAnsi="Calibri"/>
      <w:sz w:val="18"/>
      <w:szCs w:val="18"/>
    </w:rPr>
  </w:style>
  <w:style w:type="paragraph" w:styleId="12">
    <w:name w:val="annotation text"/>
    <w:basedOn w:val="1"/>
    <w:autoRedefine/>
    <w:qFormat/>
    <w:uiPriority w:val="0"/>
    <w:pPr>
      <w:jc w:val="left"/>
    </w:pPr>
  </w:style>
  <w:style w:type="paragraph" w:styleId="13">
    <w:name w:val="Body Text 3"/>
    <w:basedOn w:val="1"/>
    <w:autoRedefine/>
    <w:qFormat/>
    <w:uiPriority w:val="0"/>
    <w:rPr>
      <w:sz w:val="16"/>
      <w:szCs w:val="16"/>
    </w:rPr>
  </w:style>
  <w:style w:type="paragraph" w:styleId="14">
    <w:name w:val="Body Text Indent"/>
    <w:basedOn w:val="1"/>
    <w:next w:val="15"/>
    <w:autoRedefine/>
    <w:qFormat/>
    <w:uiPriority w:val="0"/>
    <w:pPr>
      <w:widowControl/>
      <w:spacing w:beforeAutospacing="1" w:afterAutospacing="1"/>
      <w:jc w:val="left"/>
    </w:pPr>
    <w:rPr>
      <w:rFonts w:ascii="宋体" w:hAnsi="宋体" w:cs="宋体"/>
      <w:kern w:val="0"/>
      <w:sz w:val="24"/>
    </w:rPr>
  </w:style>
  <w:style w:type="paragraph" w:styleId="15">
    <w:name w:val="Body Text First Indent 2"/>
    <w:basedOn w:val="14"/>
    <w:autoRedefine/>
    <w:qFormat/>
    <w:uiPriority w:val="0"/>
    <w:pPr>
      <w:ind w:firstLine="420" w:firstLineChars="200"/>
    </w:pPr>
  </w:style>
  <w:style w:type="paragraph" w:styleId="16">
    <w:name w:val="List 2"/>
    <w:basedOn w:val="1"/>
    <w:autoRedefine/>
    <w:qFormat/>
    <w:uiPriority w:val="0"/>
    <w:pPr>
      <w:ind w:left="100" w:leftChars="200" w:hanging="200" w:hangingChars="200"/>
    </w:pPr>
  </w:style>
  <w:style w:type="paragraph" w:styleId="17">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8">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9">
    <w:name w:val="Plain Text"/>
    <w:basedOn w:val="1"/>
    <w:autoRedefine/>
    <w:qFormat/>
    <w:uiPriority w:val="0"/>
    <w:pPr>
      <w:widowControl/>
      <w:spacing w:beforeAutospacing="1" w:afterAutospacing="1"/>
      <w:jc w:val="left"/>
    </w:pPr>
    <w:rPr>
      <w:rFonts w:ascii="宋体" w:hAnsi="宋体" w:cs="宋体"/>
      <w:kern w:val="0"/>
      <w:sz w:val="24"/>
    </w:rPr>
  </w:style>
  <w:style w:type="paragraph" w:styleId="20">
    <w:name w:val="Date"/>
    <w:basedOn w:val="1"/>
    <w:next w:val="1"/>
    <w:autoRedefine/>
    <w:qFormat/>
    <w:uiPriority w:val="0"/>
    <w:pPr>
      <w:ind w:left="100" w:leftChars="2500"/>
    </w:pPr>
    <w:rPr>
      <w:rFonts w:ascii="宋体" w:hAnsi="宋体"/>
      <w:sz w:val="28"/>
    </w:rPr>
  </w:style>
  <w:style w:type="paragraph" w:styleId="21">
    <w:name w:val="Body Text Indent 2"/>
    <w:basedOn w:val="1"/>
    <w:autoRedefine/>
    <w:qFormat/>
    <w:uiPriority w:val="0"/>
    <w:pPr>
      <w:spacing w:line="480" w:lineRule="auto"/>
      <w:ind w:left="420" w:leftChars="200"/>
    </w:pPr>
  </w:style>
  <w:style w:type="paragraph" w:styleId="22">
    <w:name w:val="footer"/>
    <w:basedOn w:val="1"/>
    <w:autoRedefine/>
    <w:qFormat/>
    <w:uiPriority w:val="0"/>
    <w:pPr>
      <w:tabs>
        <w:tab w:val="center" w:pos="4153"/>
        <w:tab w:val="right" w:pos="8306"/>
      </w:tabs>
      <w:snapToGrid w:val="0"/>
      <w:jc w:val="left"/>
    </w:pPr>
    <w:rPr>
      <w:sz w:val="18"/>
      <w:szCs w:val="18"/>
    </w:rPr>
  </w:style>
  <w:style w:type="paragraph" w:styleId="23">
    <w:name w:val="envelope return"/>
    <w:basedOn w:val="1"/>
    <w:autoRedefine/>
    <w:unhideWhenUsed/>
    <w:qFormat/>
    <w:uiPriority w:val="99"/>
    <w:pPr>
      <w:snapToGrid w:val="0"/>
    </w:pPr>
    <w:rPr>
      <w:rFonts w:ascii="Arial" w:hAnsi="Arial"/>
    </w:rPr>
  </w:style>
  <w:style w:type="paragraph" w:styleId="2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0"/>
  </w:style>
  <w:style w:type="paragraph" w:styleId="26">
    <w:name w:val="List"/>
    <w:basedOn w:val="1"/>
    <w:autoRedefine/>
    <w:qFormat/>
    <w:uiPriority w:val="0"/>
    <w:pPr>
      <w:ind w:left="200" w:hanging="200" w:hangingChars="200"/>
    </w:pPr>
  </w:style>
  <w:style w:type="paragraph" w:styleId="27">
    <w:name w:val="Body Text 2"/>
    <w:basedOn w:val="1"/>
    <w:next w:val="3"/>
    <w:autoRedefine/>
    <w:qFormat/>
    <w:uiPriority w:val="0"/>
    <w:pPr>
      <w:spacing w:line="480" w:lineRule="auto"/>
    </w:pPr>
  </w:style>
  <w:style w:type="paragraph" w:styleId="28">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autoRedefine/>
    <w:qFormat/>
    <w:uiPriority w:val="99"/>
    <w:pPr>
      <w:spacing w:before="100" w:beforeAutospacing="1" w:after="100" w:afterAutospacing="1"/>
      <w:jc w:val="left"/>
    </w:pPr>
    <w:rPr>
      <w:kern w:val="0"/>
      <w:sz w:val="24"/>
    </w:rPr>
  </w:style>
  <w:style w:type="paragraph" w:styleId="31">
    <w:name w:val="Title"/>
    <w:basedOn w:val="1"/>
    <w:autoRedefine/>
    <w:qFormat/>
    <w:uiPriority w:val="0"/>
    <w:pPr>
      <w:jc w:val="center"/>
      <w:outlineLvl w:val="0"/>
    </w:pPr>
    <w:rPr>
      <w:rFonts w:ascii="Arial" w:hAnsi="Arial" w:cs="Arial"/>
      <w:b/>
      <w:bCs/>
      <w:sz w:val="32"/>
      <w:szCs w:val="32"/>
    </w:rPr>
  </w:style>
  <w:style w:type="paragraph" w:styleId="32">
    <w:name w:val="Body Text First Indent"/>
    <w:basedOn w:val="3"/>
    <w:next w:val="15"/>
    <w:autoRedefine/>
    <w:qFormat/>
    <w:uiPriority w:val="0"/>
    <w:pPr>
      <w:spacing w:line="360" w:lineRule="auto"/>
      <w:ind w:firstLine="420" w:firstLineChars="100"/>
    </w:pPr>
    <w:rPr>
      <w:szCs w:val="21"/>
    </w:rPr>
  </w:style>
  <w:style w:type="table" w:styleId="34">
    <w:name w:val="Table Grid"/>
    <w:basedOn w:val="33"/>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autoRedefine/>
    <w:qFormat/>
    <w:uiPriority w:val="0"/>
    <w:rPr>
      <w:b/>
      <w:bCs/>
      <w:szCs w:val="24"/>
    </w:rPr>
  </w:style>
  <w:style w:type="character" w:styleId="37">
    <w:name w:val="page number"/>
    <w:basedOn w:val="35"/>
    <w:autoRedefine/>
    <w:qFormat/>
    <w:uiPriority w:val="0"/>
  </w:style>
  <w:style w:type="character" w:styleId="38">
    <w:name w:val="FollowedHyperlink"/>
    <w:autoRedefine/>
    <w:qFormat/>
    <w:uiPriority w:val="0"/>
    <w:rPr>
      <w:color w:val="333333"/>
      <w:szCs w:val="24"/>
      <w:u w:val="none"/>
    </w:rPr>
  </w:style>
  <w:style w:type="character" w:styleId="39">
    <w:name w:val="Emphasis"/>
    <w:basedOn w:val="35"/>
    <w:autoRedefine/>
    <w:qFormat/>
    <w:uiPriority w:val="0"/>
  </w:style>
  <w:style w:type="character" w:styleId="40">
    <w:name w:val="HTML Definition"/>
    <w:basedOn w:val="35"/>
    <w:autoRedefine/>
    <w:qFormat/>
    <w:uiPriority w:val="0"/>
  </w:style>
  <w:style w:type="character" w:styleId="41">
    <w:name w:val="HTML Typewriter"/>
    <w:basedOn w:val="35"/>
    <w:autoRedefine/>
    <w:qFormat/>
    <w:uiPriority w:val="0"/>
    <w:rPr>
      <w:rFonts w:hint="default" w:ascii="monospace" w:hAnsi="monospace" w:eastAsia="monospace" w:cs="monospace"/>
      <w:sz w:val="20"/>
    </w:rPr>
  </w:style>
  <w:style w:type="character" w:styleId="42">
    <w:name w:val="HTML Acronym"/>
    <w:basedOn w:val="35"/>
    <w:autoRedefine/>
    <w:qFormat/>
    <w:uiPriority w:val="0"/>
  </w:style>
  <w:style w:type="character" w:styleId="43">
    <w:name w:val="HTML Variable"/>
    <w:basedOn w:val="35"/>
    <w:autoRedefine/>
    <w:qFormat/>
    <w:uiPriority w:val="0"/>
  </w:style>
  <w:style w:type="character" w:styleId="44">
    <w:name w:val="Hyperlink"/>
    <w:basedOn w:val="35"/>
    <w:autoRedefine/>
    <w:qFormat/>
    <w:uiPriority w:val="0"/>
    <w:rPr>
      <w:color w:val="333333"/>
      <w:szCs w:val="24"/>
      <w:u w:val="none"/>
    </w:rPr>
  </w:style>
  <w:style w:type="character" w:styleId="45">
    <w:name w:val="HTML Code"/>
    <w:basedOn w:val="35"/>
    <w:autoRedefine/>
    <w:qFormat/>
    <w:uiPriority w:val="0"/>
    <w:rPr>
      <w:rFonts w:ascii="monospace" w:hAnsi="monospace" w:eastAsia="monospace" w:cs="monospace"/>
      <w:sz w:val="20"/>
    </w:rPr>
  </w:style>
  <w:style w:type="character" w:styleId="46">
    <w:name w:val="HTML Cite"/>
    <w:basedOn w:val="35"/>
    <w:autoRedefine/>
    <w:qFormat/>
    <w:uiPriority w:val="0"/>
  </w:style>
  <w:style w:type="character" w:styleId="47">
    <w:name w:val="HTML Keyboard"/>
    <w:basedOn w:val="35"/>
    <w:autoRedefine/>
    <w:qFormat/>
    <w:uiPriority w:val="0"/>
    <w:rPr>
      <w:rFonts w:hint="default" w:ascii="monospace" w:hAnsi="monospace" w:eastAsia="monospace" w:cs="monospace"/>
      <w:sz w:val="20"/>
    </w:rPr>
  </w:style>
  <w:style w:type="character" w:styleId="48">
    <w:name w:val="HTML Sample"/>
    <w:basedOn w:val="35"/>
    <w:autoRedefine/>
    <w:qFormat/>
    <w:uiPriority w:val="0"/>
    <w:rPr>
      <w:rFonts w:hint="default" w:ascii="monospace" w:hAnsi="monospace" w:eastAsia="monospace" w:cs="monospace"/>
    </w:rPr>
  </w:style>
  <w:style w:type="paragraph" w:customStyle="1" w:styleId="49">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50">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1">
    <w:name w:val="No Spacing1"/>
    <w:basedOn w:val="1"/>
    <w:autoRedefine/>
    <w:qFormat/>
    <w:uiPriority w:val="0"/>
    <w:pPr>
      <w:spacing w:line="400" w:lineRule="exact"/>
    </w:pPr>
    <w:rPr>
      <w:sz w:val="24"/>
    </w:rPr>
  </w:style>
  <w:style w:type="paragraph" w:customStyle="1" w:styleId="52">
    <w:name w:val="大标题"/>
    <w:basedOn w:val="1"/>
    <w:next w:val="15"/>
    <w:autoRedefine/>
    <w:qFormat/>
    <w:uiPriority w:val="0"/>
    <w:pPr>
      <w:jc w:val="center"/>
    </w:pPr>
    <w:rPr>
      <w:rFonts w:ascii="Arial" w:hAnsi="Arial"/>
      <w:b/>
      <w:sz w:val="28"/>
    </w:rPr>
  </w:style>
  <w:style w:type="paragraph" w:customStyle="1" w:styleId="53">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autoRedefine/>
    <w:qFormat/>
    <w:uiPriority w:val="0"/>
  </w:style>
  <w:style w:type="paragraph" w:customStyle="1" w:styleId="55">
    <w:name w:val="正文缩进1"/>
    <w:basedOn w:val="1"/>
    <w:autoRedefine/>
    <w:qFormat/>
    <w:uiPriority w:val="0"/>
    <w:pPr>
      <w:widowControl/>
      <w:ind w:firstLine="420"/>
      <w:jc w:val="left"/>
    </w:pPr>
    <w:rPr>
      <w:kern w:val="0"/>
      <w:szCs w:val="20"/>
    </w:rPr>
  </w:style>
  <w:style w:type="paragraph" w:customStyle="1" w:styleId="56">
    <w:name w:val="列出段落2"/>
    <w:basedOn w:val="1"/>
    <w:autoRedefine/>
    <w:qFormat/>
    <w:uiPriority w:val="34"/>
    <w:pPr>
      <w:ind w:firstLine="420" w:firstLineChars="200"/>
    </w:pPr>
  </w:style>
  <w:style w:type="paragraph" w:customStyle="1" w:styleId="57">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8">
    <w:name w:val="1"/>
    <w:basedOn w:val="1"/>
    <w:autoRedefine/>
    <w:qFormat/>
    <w:uiPriority w:val="0"/>
    <w:pPr>
      <w:widowControl/>
      <w:spacing w:beforeAutospacing="1" w:afterAutospacing="1"/>
      <w:jc w:val="left"/>
    </w:pPr>
    <w:rPr>
      <w:rFonts w:ascii="宋体" w:hAnsi="宋体" w:cs="宋体"/>
      <w:kern w:val="0"/>
      <w:sz w:val="24"/>
    </w:rPr>
  </w:style>
  <w:style w:type="paragraph" w:styleId="59">
    <w:name w:val="No Spacing"/>
    <w:autoRedefine/>
    <w:qFormat/>
    <w:uiPriority w:val="1"/>
    <w:rPr>
      <w:rFonts w:ascii="Calibri" w:hAnsi="Calibri" w:eastAsia="宋体" w:cs="Times New Roman"/>
      <w:sz w:val="22"/>
      <w:szCs w:val="22"/>
      <w:lang w:val="en-US" w:eastAsia="zh-CN" w:bidi="ar-SA"/>
    </w:rPr>
  </w:style>
  <w:style w:type="paragraph" w:customStyle="1" w:styleId="60">
    <w:name w:val="_Style 2"/>
    <w:basedOn w:val="1"/>
    <w:autoRedefine/>
    <w:qFormat/>
    <w:uiPriority w:val="34"/>
    <w:pPr>
      <w:ind w:firstLine="420" w:firstLineChars="200"/>
    </w:pPr>
    <w:rPr>
      <w:rFonts w:ascii="Calibri" w:hAnsi="Calibri"/>
    </w:rPr>
  </w:style>
  <w:style w:type="paragraph" w:customStyle="1" w:styleId="61">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autoRedefine/>
    <w:qFormat/>
    <w:uiPriority w:val="0"/>
  </w:style>
  <w:style w:type="paragraph" w:customStyle="1" w:styleId="64">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autoRedefine/>
    <w:qFormat/>
    <w:uiPriority w:val="1"/>
    <w:pPr>
      <w:jc w:val="left"/>
    </w:pPr>
    <w:rPr>
      <w:rFonts w:ascii="宋体" w:hAnsi="宋体" w:cs="宋体"/>
      <w:kern w:val="0"/>
      <w:sz w:val="22"/>
      <w:szCs w:val="22"/>
      <w:lang w:eastAsia="en-US"/>
    </w:rPr>
  </w:style>
  <w:style w:type="paragraph" w:customStyle="1" w:styleId="66">
    <w:name w:val="无间隔1"/>
    <w:basedOn w:val="1"/>
    <w:autoRedefine/>
    <w:qFormat/>
    <w:uiPriority w:val="1"/>
    <w:pPr>
      <w:spacing w:line="400" w:lineRule="exact"/>
    </w:pPr>
    <w:rPr>
      <w:sz w:val="24"/>
    </w:rPr>
  </w:style>
  <w:style w:type="paragraph" w:customStyle="1" w:styleId="67">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autoRedefine/>
    <w:qFormat/>
    <w:uiPriority w:val="34"/>
    <w:pPr>
      <w:ind w:firstLine="420" w:firstLineChars="200"/>
    </w:pPr>
  </w:style>
  <w:style w:type="paragraph" w:customStyle="1" w:styleId="70">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autoRedefine/>
    <w:qFormat/>
    <w:uiPriority w:val="0"/>
    <w:pPr>
      <w:ind w:firstLine="420" w:firstLineChars="200"/>
    </w:pPr>
    <w:rPr>
      <w:rFonts w:ascii="Calibri" w:hAnsi="Calibri"/>
      <w:szCs w:val="22"/>
    </w:rPr>
  </w:style>
  <w:style w:type="character" w:customStyle="1" w:styleId="74">
    <w:name w:val="正文文本 Char"/>
    <w:basedOn w:val="35"/>
    <w:link w:val="3"/>
    <w:autoRedefine/>
    <w:qFormat/>
    <w:uiPriority w:val="0"/>
  </w:style>
  <w:style w:type="character" w:customStyle="1" w:styleId="75">
    <w:name w:val="apple-converted-space"/>
    <w:basedOn w:val="35"/>
    <w:autoRedefine/>
    <w:qFormat/>
    <w:uiPriority w:val="0"/>
  </w:style>
  <w:style w:type="character" w:customStyle="1" w:styleId="76">
    <w:name w:val="文档结构图 Char"/>
    <w:link w:val="11"/>
    <w:autoRedefine/>
    <w:qFormat/>
    <w:uiPriority w:val="0"/>
    <w:rPr>
      <w:rFonts w:ascii="宋体"/>
      <w:kern w:val="2"/>
      <w:sz w:val="18"/>
      <w:szCs w:val="18"/>
    </w:rPr>
  </w:style>
  <w:style w:type="character" w:customStyle="1" w:styleId="77">
    <w:name w:val="不明显强调1"/>
    <w:autoRedefine/>
    <w:qFormat/>
    <w:uiPriority w:val="19"/>
    <w:rPr>
      <w:i/>
      <w:iCs/>
      <w:color w:val="7F7F7F"/>
      <w:szCs w:val="24"/>
    </w:rPr>
  </w:style>
  <w:style w:type="character" w:customStyle="1" w:styleId="78">
    <w:name w:val="font71"/>
    <w:basedOn w:val="35"/>
    <w:autoRedefine/>
    <w:qFormat/>
    <w:uiPriority w:val="0"/>
    <w:rPr>
      <w:rFonts w:hint="eastAsia" w:ascii="宋体" w:hAnsi="宋体" w:eastAsia="宋体" w:cs="宋体"/>
      <w:color w:val="000000"/>
      <w:sz w:val="28"/>
      <w:szCs w:val="28"/>
      <w:u w:val="none"/>
    </w:rPr>
  </w:style>
  <w:style w:type="character" w:customStyle="1" w:styleId="79">
    <w:name w:val="font21"/>
    <w:autoRedefine/>
    <w:qFormat/>
    <w:uiPriority w:val="0"/>
    <w:rPr>
      <w:rFonts w:hint="default" w:ascii="Calibri" w:hAnsi="Calibri" w:cs="Calibri"/>
      <w:color w:val="000000"/>
      <w:sz w:val="28"/>
      <w:szCs w:val="28"/>
      <w:u w:val="none"/>
    </w:rPr>
  </w:style>
  <w:style w:type="character" w:customStyle="1" w:styleId="80">
    <w:name w:val="17"/>
    <w:autoRedefine/>
    <w:qFormat/>
    <w:uiPriority w:val="0"/>
    <w:rPr>
      <w:rFonts w:hint="eastAsia" w:ascii="宋体" w:hAnsi="宋体" w:eastAsia="宋体"/>
      <w:color w:val="000000"/>
    </w:rPr>
  </w:style>
  <w:style w:type="character" w:customStyle="1" w:styleId="81">
    <w:name w:val="font91"/>
    <w:autoRedefine/>
    <w:qFormat/>
    <w:uiPriority w:val="0"/>
    <w:rPr>
      <w:rFonts w:hint="eastAsia" w:ascii="宋体" w:hAnsi="宋体" w:eastAsia="宋体" w:cs="宋体"/>
      <w:color w:val="FF0000"/>
      <w:sz w:val="28"/>
      <w:szCs w:val="28"/>
      <w:u w:val="none"/>
    </w:rPr>
  </w:style>
  <w:style w:type="paragraph" w:customStyle="1" w:styleId="82">
    <w:name w:val="p"/>
    <w:basedOn w:val="1"/>
    <w:autoRedefine/>
    <w:qFormat/>
    <w:uiPriority w:val="0"/>
    <w:pPr>
      <w:widowControl/>
      <w:spacing w:line="432" w:lineRule="auto"/>
      <w:jc w:val="left"/>
    </w:pPr>
    <w:rPr>
      <w:rFonts w:ascii="宋体" w:hAnsi="宋体" w:cs="宋体"/>
      <w:kern w:val="0"/>
      <w:sz w:val="24"/>
    </w:rPr>
  </w:style>
  <w:style w:type="paragraph" w:customStyle="1" w:styleId="83">
    <w:name w:val="WPSOffice手动目录 1"/>
    <w:autoRedefine/>
    <w:qFormat/>
    <w:uiPriority w:val="0"/>
    <w:rPr>
      <w:rFonts w:ascii="Times New Roman" w:hAnsi="Times New Roman" w:eastAsia="宋体" w:cs="Times New Roman"/>
      <w:lang w:val="en-US" w:eastAsia="zh-CN" w:bidi="ar-SA"/>
    </w:rPr>
  </w:style>
  <w:style w:type="paragraph" w:customStyle="1" w:styleId="84">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5">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6">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autoRedefine/>
    <w:qFormat/>
    <w:uiPriority w:val="34"/>
    <w:pPr>
      <w:widowControl/>
      <w:ind w:firstLine="420"/>
      <w:jc w:val="left"/>
    </w:pPr>
    <w:rPr>
      <w:kern w:val="0"/>
    </w:rPr>
  </w:style>
  <w:style w:type="paragraph" w:styleId="88">
    <w:name w:val="List Paragraph"/>
    <w:basedOn w:val="1"/>
    <w:autoRedefine/>
    <w:qFormat/>
    <w:uiPriority w:val="34"/>
    <w:pPr>
      <w:ind w:firstLine="420" w:firstLineChars="200"/>
    </w:pPr>
  </w:style>
  <w:style w:type="character" w:customStyle="1" w:styleId="89">
    <w:name w:val="hover18"/>
    <w:basedOn w:val="35"/>
    <w:autoRedefine/>
    <w:qFormat/>
    <w:uiPriority w:val="0"/>
  </w:style>
  <w:style w:type="table" w:customStyle="1" w:styleId="90">
    <w:name w:val="Table Normal"/>
    <w:autoRedefine/>
    <w:qFormat/>
    <w:uiPriority w:val="0"/>
    <w:tblPr>
      <w:tblCellMar>
        <w:top w:w="0" w:type="dxa"/>
        <w:left w:w="0" w:type="dxa"/>
        <w:bottom w:w="0" w:type="dxa"/>
        <w:right w:w="0" w:type="dxa"/>
      </w:tblCellMar>
    </w:tblPr>
  </w:style>
  <w:style w:type="paragraph" w:customStyle="1" w:styleId="91">
    <w:name w:val="Table Text"/>
    <w:basedOn w:val="1"/>
    <w:autoRedefine/>
    <w:semiHidden/>
    <w:qFormat/>
    <w:uiPriority w:val="0"/>
    <w:rPr>
      <w:rFonts w:ascii="宋体" w:hAnsi="宋体" w:eastAsia="宋体" w:cs="宋体"/>
      <w:sz w:val="45"/>
      <w:szCs w:val="45"/>
      <w:lang w:val="en-US" w:eastAsia="en-US" w:bidi="ar-SA"/>
    </w:rPr>
  </w:style>
  <w:style w:type="character" w:customStyle="1" w:styleId="92">
    <w:name w:val="font11"/>
    <w:basedOn w:val="35"/>
    <w:autoRedefine/>
    <w:qFormat/>
    <w:uiPriority w:val="0"/>
    <w:rPr>
      <w:rFonts w:ascii="Calibri" w:hAnsi="Calibri" w:cs="Calibri"/>
      <w:color w:val="000000"/>
      <w:sz w:val="24"/>
      <w:szCs w:val="24"/>
      <w:u w:val="none"/>
    </w:rPr>
  </w:style>
  <w:style w:type="paragraph" w:customStyle="1" w:styleId="93">
    <w:name w:val="正文1"/>
    <w:next w:val="1"/>
    <w:autoRedefine/>
    <w:qFormat/>
    <w:uiPriority w:val="0"/>
    <w:pPr>
      <w:widowControl w:val="0"/>
      <w:spacing w:line="360" w:lineRule="auto"/>
      <w:jc w:val="both"/>
    </w:pPr>
    <w:rPr>
      <w:rFonts w:ascii="Calibri" w:hAnsi="Calibri" w:eastAsia="宋体" w:cs="Times New Roman"/>
      <w:sz w:val="24"/>
      <w:szCs w:val="22"/>
      <w:lang w:val="en-US" w:eastAsia="zh-CN" w:bidi="ar-SA"/>
    </w:rPr>
  </w:style>
  <w:style w:type="character" w:customStyle="1" w:styleId="94">
    <w:name w:val="font61"/>
    <w:basedOn w:val="35"/>
    <w:qFormat/>
    <w:uiPriority w:val="0"/>
    <w:rPr>
      <w:rFonts w:ascii="宋体" w:hAnsi="宋体" w:eastAsia="宋体" w:cs="宋体"/>
      <w:color w:val="000000"/>
      <w:sz w:val="24"/>
      <w:szCs w:val="24"/>
      <w:u w:val="none"/>
    </w:rPr>
  </w:style>
  <w:style w:type="character" w:customStyle="1" w:styleId="95">
    <w:name w:val="font81"/>
    <w:basedOn w:val="35"/>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36</Pages>
  <Words>15692</Words>
  <Characters>16727</Characters>
  <Lines>50</Lines>
  <Paragraphs>68</Paragraphs>
  <TotalTime>1</TotalTime>
  <ScaleCrop>false</ScaleCrop>
  <LinksUpToDate>false</LinksUpToDate>
  <CharactersWithSpaces>17190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潘艳红</cp:lastModifiedBy>
  <cp:lastPrinted>2021-09-30T00:46:00Z</cp:lastPrinted>
  <dcterms:modified xsi:type="dcterms:W3CDTF">2025-03-17T09:47:50Z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6B4FDCA957CB4E82998C2E32247B97ED_13</vt:lpwstr>
  </property>
  <property fmtid="{D5CDD505-2E9C-101B-9397-08002B2CF9AE}" pid="4" name="KSOTemplateDocerSaveRecord">
    <vt:lpwstr>eyJoZGlkIjoiMzU0MTZjMjFkMjFjOGMwYTIzNWEzZDljNjYxZWI0MmYiLCJ1c2VySWQiOiIxNjg0NTc5MjM2In0=</vt:lpwstr>
  </property>
</Properties>
</file>