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9"/>
        <w:widowControl w:val="0"/>
        <w:spacing w:beforeLines="50"/>
        <w:jc w:val="center"/>
        <w:rPr>
          <w:b/>
          <w:bCs/>
          <w:sz w:val="48"/>
          <w:szCs w:val="48"/>
        </w:rPr>
      </w:pPr>
      <w:bookmarkStart w:id="0" w:name="_Toc22953395"/>
      <w:bookmarkEnd w:id="0"/>
      <w:bookmarkStart w:id="1" w:name="_Toc22804073"/>
      <w:bookmarkEnd w:id="1"/>
    </w:p>
    <w:p>
      <w:pPr>
        <w:pStyle w:val="19"/>
        <w:widowControl w:val="0"/>
        <w:spacing w:beforeLines="50"/>
        <w:jc w:val="center"/>
        <w:rPr>
          <w:rFonts w:hint="eastAsia" w:eastAsia="宋体"/>
          <w:b/>
          <w:bCs/>
          <w:sz w:val="44"/>
          <w:szCs w:val="44"/>
          <w:lang w:eastAsia="zh-CN"/>
        </w:rPr>
      </w:pPr>
      <w:r>
        <w:rPr>
          <w:rFonts w:hint="eastAsia"/>
          <w:b/>
          <w:bCs/>
          <w:sz w:val="44"/>
          <w:szCs w:val="44"/>
          <w:lang w:eastAsia="zh-CN"/>
        </w:rPr>
        <w:t>驻马店市中心医院西门子3.0T磁共振技术保项目（二次）</w:t>
      </w:r>
    </w:p>
    <w:p>
      <w:pPr>
        <w:pStyle w:val="19"/>
        <w:jc w:val="center"/>
        <w:rPr>
          <w:rStyle w:val="43"/>
          <w:b/>
          <w:bCs/>
          <w:color w:val="auto"/>
          <w:sz w:val="48"/>
          <w:szCs w:val="48"/>
        </w:rPr>
      </w:pPr>
    </w:p>
    <w:p>
      <w:pPr>
        <w:pStyle w:val="19"/>
        <w:jc w:val="center"/>
        <w:rPr>
          <w:rStyle w:val="43"/>
          <w:b/>
          <w:bCs/>
          <w:color w:val="auto"/>
          <w:sz w:val="48"/>
          <w:szCs w:val="48"/>
        </w:rPr>
      </w:pPr>
    </w:p>
    <w:p>
      <w:pPr>
        <w:pStyle w:val="19"/>
        <w:jc w:val="center"/>
        <w:rPr>
          <w:rStyle w:val="43"/>
          <w:b/>
          <w:bCs/>
          <w:color w:val="auto"/>
          <w:sz w:val="48"/>
          <w:szCs w:val="48"/>
        </w:rPr>
      </w:pPr>
    </w:p>
    <w:p>
      <w:pPr>
        <w:pStyle w:val="19"/>
        <w:jc w:val="center"/>
        <w:rPr>
          <w:rStyle w:val="43"/>
          <w:b/>
          <w:bCs/>
          <w:color w:val="auto"/>
          <w:sz w:val="48"/>
          <w:szCs w:val="48"/>
        </w:rPr>
      </w:pPr>
    </w:p>
    <w:p>
      <w:pPr>
        <w:pStyle w:val="19"/>
        <w:jc w:val="center"/>
        <w:rPr>
          <w:rStyle w:val="43"/>
          <w:b/>
          <w:bCs/>
          <w:color w:val="auto"/>
          <w:szCs w:val="44"/>
        </w:rPr>
      </w:pPr>
      <w:r>
        <w:rPr>
          <w:rStyle w:val="43"/>
          <w:rFonts w:hint="eastAsia"/>
          <w:b/>
          <w:bCs/>
          <w:color w:val="auto"/>
          <w:sz w:val="72"/>
          <w:szCs w:val="72"/>
        </w:rPr>
        <w:t>采购文件</w:t>
      </w:r>
    </w:p>
    <w:p>
      <w:pPr>
        <w:tabs>
          <w:tab w:val="left" w:pos="2700"/>
          <w:tab w:val="left" w:pos="2880"/>
          <w:tab w:val="left" w:pos="3060"/>
          <w:tab w:val="left" w:pos="7560"/>
        </w:tabs>
        <w:snapToGrid w:val="0"/>
        <w:spacing w:line="360" w:lineRule="auto"/>
        <w:ind w:firstLine="1928" w:firstLineChars="600"/>
        <w:rPr>
          <w:rFonts w:ascii="宋体" w:hAnsi="宋体" w:cs="宋体"/>
          <w:b/>
          <w:bCs/>
          <w:spacing w:val="-10"/>
          <w:sz w:val="34"/>
          <w:szCs w:val="34"/>
        </w:rPr>
      </w:pPr>
    </w:p>
    <w:p>
      <w:pPr>
        <w:snapToGrid w:val="0"/>
        <w:spacing w:line="380" w:lineRule="exact"/>
        <w:jc w:val="center"/>
        <w:rPr>
          <w:rFonts w:ascii="宋体" w:hAnsi="宋体" w:cs="宋体"/>
          <w:b/>
          <w:sz w:val="32"/>
          <w:szCs w:val="32"/>
        </w:rPr>
      </w:pPr>
    </w:p>
    <w:p>
      <w:pPr>
        <w:pStyle w:val="30"/>
        <w:ind w:firstLine="210"/>
      </w:pPr>
    </w:p>
    <w:p>
      <w:pPr>
        <w:pStyle w:val="58"/>
        <w:rPr>
          <w:rFonts w:ascii="宋体" w:hAnsi="宋体" w:cs="宋体"/>
          <w:bCs/>
          <w:sz w:val="2"/>
          <w:szCs w:val="2"/>
        </w:rPr>
      </w:pPr>
    </w:p>
    <w:p>
      <w:pPr>
        <w:rPr>
          <w:rFonts w:ascii="宋体" w:hAnsi="宋体" w:cs="宋体"/>
          <w:bCs/>
          <w:sz w:val="2"/>
          <w:szCs w:val="2"/>
        </w:rPr>
      </w:pPr>
    </w:p>
    <w:p>
      <w:pPr>
        <w:spacing w:line="20" w:lineRule="exact"/>
        <w:rPr>
          <w:rFonts w:ascii="宋体" w:hAnsi="宋体" w:cs="宋体"/>
          <w:bCs/>
          <w:sz w:val="2"/>
          <w:szCs w:val="2"/>
        </w:rPr>
      </w:pPr>
    </w:p>
    <w:p>
      <w:pPr>
        <w:tabs>
          <w:tab w:val="left" w:pos="2700"/>
          <w:tab w:val="left" w:pos="2880"/>
          <w:tab w:val="left" w:pos="3060"/>
          <w:tab w:val="left" w:pos="7560"/>
        </w:tabs>
        <w:snapToGrid w:val="0"/>
        <w:spacing w:line="480" w:lineRule="auto"/>
        <w:ind w:firstLine="1928" w:firstLineChars="600"/>
        <w:rPr>
          <w:rFonts w:ascii="宋体" w:hAnsi="宋体" w:cs="宋体"/>
          <w:b/>
          <w:bCs/>
          <w:spacing w:val="-10"/>
          <w:sz w:val="34"/>
          <w:szCs w:val="34"/>
        </w:rPr>
      </w:pPr>
    </w:p>
    <w:p>
      <w:pPr>
        <w:tabs>
          <w:tab w:val="left" w:pos="2700"/>
          <w:tab w:val="left" w:pos="2880"/>
          <w:tab w:val="left" w:pos="3060"/>
          <w:tab w:val="left" w:pos="7560"/>
        </w:tabs>
        <w:snapToGrid w:val="0"/>
        <w:spacing w:line="480" w:lineRule="auto"/>
        <w:ind w:firstLine="1928" w:firstLineChars="600"/>
        <w:rPr>
          <w:rFonts w:ascii="宋体" w:hAnsi="宋体" w:cs="宋体"/>
          <w:b/>
          <w:bCs/>
          <w:spacing w:val="-10"/>
          <w:sz w:val="34"/>
          <w:szCs w:val="34"/>
        </w:rPr>
      </w:pPr>
    </w:p>
    <w:p>
      <w:pPr>
        <w:tabs>
          <w:tab w:val="left" w:pos="2700"/>
          <w:tab w:val="left" w:pos="2880"/>
          <w:tab w:val="left" w:pos="3060"/>
          <w:tab w:val="left" w:pos="7560"/>
        </w:tabs>
        <w:snapToGrid w:val="0"/>
        <w:spacing w:line="480" w:lineRule="auto"/>
        <w:jc w:val="center"/>
        <w:rPr>
          <w:rFonts w:ascii="宋体" w:hAnsi="宋体" w:cs="宋体"/>
          <w:b/>
          <w:bCs/>
          <w:spacing w:val="-10"/>
          <w:sz w:val="34"/>
          <w:szCs w:val="34"/>
        </w:rPr>
      </w:pPr>
    </w:p>
    <w:p>
      <w:pPr>
        <w:tabs>
          <w:tab w:val="left" w:pos="2700"/>
          <w:tab w:val="left" w:pos="2880"/>
          <w:tab w:val="left" w:pos="3060"/>
          <w:tab w:val="left" w:pos="7560"/>
        </w:tabs>
        <w:snapToGrid w:val="0"/>
        <w:spacing w:line="480" w:lineRule="auto"/>
        <w:jc w:val="center"/>
        <w:rPr>
          <w:rFonts w:ascii="宋体" w:hAnsi="宋体" w:cs="宋体"/>
          <w:b/>
          <w:bCs/>
          <w:spacing w:val="80"/>
          <w:sz w:val="34"/>
          <w:szCs w:val="34"/>
        </w:rPr>
      </w:pPr>
      <w:r>
        <w:rPr>
          <w:rFonts w:hint="eastAsia" w:ascii="宋体" w:hAnsi="宋体" w:cs="宋体"/>
          <w:b/>
          <w:bCs/>
          <w:spacing w:val="-10"/>
          <w:sz w:val="34"/>
          <w:szCs w:val="34"/>
        </w:rPr>
        <w:t>采 购 人：驻马店市中心医院</w:t>
      </w:r>
    </w:p>
    <w:p>
      <w:pPr>
        <w:tabs>
          <w:tab w:val="left" w:pos="2505"/>
          <w:tab w:val="center" w:pos="4535"/>
        </w:tabs>
        <w:snapToGrid w:val="0"/>
        <w:spacing w:line="480" w:lineRule="auto"/>
        <w:jc w:val="center"/>
        <w:rPr>
          <w:rFonts w:ascii="宋体" w:hAnsi="宋体" w:cs="宋体"/>
          <w:b/>
          <w:sz w:val="36"/>
          <w:szCs w:val="36"/>
        </w:rPr>
        <w:sectPr>
          <w:pgSz w:w="11923" w:h="16838"/>
          <w:pgMar w:top="1304" w:right="1417" w:bottom="992" w:left="1417" w:header="720" w:footer="720" w:gutter="0"/>
          <w:pgNumType w:start="1"/>
          <w:cols w:space="720" w:num="1"/>
          <w:docGrid w:type="lines" w:linePitch="312" w:charSpace="0"/>
        </w:sectPr>
      </w:pPr>
      <w:r>
        <w:rPr>
          <w:rFonts w:hint="eastAsia" w:ascii="宋体" w:hAnsi="宋体" w:cs="宋体"/>
          <w:b/>
          <w:bCs/>
          <w:spacing w:val="40"/>
          <w:sz w:val="34"/>
          <w:szCs w:val="34"/>
          <w:lang w:eastAsia="zh-CN"/>
        </w:rPr>
        <w:t>2024</w:t>
      </w:r>
      <w:r>
        <w:rPr>
          <w:rFonts w:hint="eastAsia" w:ascii="宋体" w:hAnsi="宋体" w:cs="宋体"/>
          <w:b/>
          <w:bCs/>
          <w:color w:val="000000" w:themeColor="text1"/>
          <w:spacing w:val="40"/>
          <w:sz w:val="34"/>
          <w:szCs w:val="34"/>
        </w:rPr>
        <w:t>年</w:t>
      </w:r>
      <w:r>
        <w:rPr>
          <w:rFonts w:hint="eastAsia" w:ascii="宋体" w:hAnsi="宋体" w:cs="宋体"/>
          <w:b/>
          <w:bCs/>
          <w:color w:val="000000" w:themeColor="text1"/>
          <w:spacing w:val="40"/>
          <w:sz w:val="34"/>
          <w:szCs w:val="34"/>
          <w:lang w:val="en-US" w:eastAsia="zh-CN"/>
        </w:rPr>
        <w:t>3</w:t>
      </w:r>
      <w:r>
        <w:rPr>
          <w:rFonts w:hint="eastAsia" w:ascii="宋体" w:hAnsi="宋体" w:cs="宋体"/>
          <w:b/>
          <w:bCs/>
          <w:color w:val="000000" w:themeColor="text1"/>
          <w:spacing w:val="40"/>
          <w:sz w:val="34"/>
          <w:szCs w:val="34"/>
        </w:rPr>
        <w:t>月</w:t>
      </w:r>
    </w:p>
    <w:p>
      <w:pPr>
        <w:rPr>
          <w:rFonts w:ascii="宋体" w:hAnsi="宋体"/>
          <w:bCs/>
          <w:sz w:val="24"/>
        </w:rPr>
      </w:pPr>
    </w:p>
    <w:p>
      <w:pPr>
        <w:jc w:val="center"/>
        <w:rPr>
          <w:rFonts w:ascii="宋体" w:hAnsi="宋体" w:cs="宋体"/>
          <w:b/>
          <w:bCs/>
          <w:sz w:val="36"/>
          <w:szCs w:val="36"/>
        </w:rPr>
      </w:pPr>
      <w:r>
        <w:rPr>
          <w:rFonts w:hint="eastAsia" w:ascii="宋体" w:hAnsi="宋体" w:cs="宋体"/>
          <w:b/>
          <w:bCs/>
          <w:sz w:val="36"/>
          <w:szCs w:val="36"/>
        </w:rPr>
        <w:t>目录</w:t>
      </w:r>
    </w:p>
    <w:p>
      <w:pPr>
        <w:pStyle w:val="52"/>
        <w:rPr>
          <w:color w:val="auto"/>
        </w:rPr>
      </w:pPr>
    </w:p>
    <w:p>
      <w:pPr>
        <w:pStyle w:val="23"/>
        <w:tabs>
          <w:tab w:val="right" w:leader="dot" w:pos="8958"/>
        </w:tabs>
        <w:snapToGrid w:val="0"/>
        <w:spacing w:line="480" w:lineRule="auto"/>
        <w:rPr>
          <w:rFonts w:ascii="宋体" w:hAnsi="宋体" w:cs="宋体"/>
          <w:szCs w:val="21"/>
        </w:rPr>
      </w:pPr>
      <w:r>
        <w:rPr>
          <w:rFonts w:hint="eastAsia" w:ascii="宋体" w:hAnsi="宋体" w:cs="宋体"/>
          <w:b/>
          <w:bCs/>
          <w:sz w:val="32"/>
          <w:szCs w:val="32"/>
        </w:rPr>
        <w:fldChar w:fldCharType="begin"/>
      </w:r>
      <w:r>
        <w:rPr>
          <w:rFonts w:hint="eastAsia" w:ascii="宋体" w:hAnsi="宋体" w:cs="宋体"/>
          <w:b/>
          <w:bCs/>
          <w:sz w:val="32"/>
          <w:szCs w:val="32"/>
        </w:rPr>
        <w:instrText xml:space="preserve">TOC \o "1-1" \h \u </w:instrText>
      </w:r>
      <w:r>
        <w:rPr>
          <w:rFonts w:hint="eastAsia" w:ascii="宋体" w:hAnsi="宋体" w:cs="宋体"/>
          <w:b/>
          <w:bCs/>
          <w:sz w:val="32"/>
          <w:szCs w:val="32"/>
        </w:rPr>
        <w:fldChar w:fldCharType="separate"/>
      </w:r>
      <w:r>
        <w:fldChar w:fldCharType="begin"/>
      </w:r>
      <w:r>
        <w:instrText xml:space="preserve"> HYPERLINK \l "_Toc9075" </w:instrText>
      </w:r>
      <w:r>
        <w:fldChar w:fldCharType="separate"/>
      </w:r>
      <w:r>
        <w:rPr>
          <w:rFonts w:hint="eastAsia" w:ascii="宋体" w:hAnsi="宋体" w:cs="宋体"/>
          <w:szCs w:val="21"/>
        </w:rPr>
        <w:t>第一章  招 标 公 告</w:t>
      </w:r>
      <w:r>
        <w:rPr>
          <w:rFonts w:hint="eastAsia" w:ascii="宋体" w:hAnsi="宋体" w:cs="宋体"/>
          <w:szCs w:val="21"/>
        </w:rPr>
        <w:tab/>
      </w:r>
      <w:r>
        <w:rPr>
          <w:rFonts w:hint="eastAsia" w:ascii="宋体" w:hAnsi="宋体" w:cs="宋体"/>
          <w:szCs w:val="21"/>
        </w:rPr>
        <w:fldChar w:fldCharType="begin"/>
      </w:r>
      <w:r>
        <w:rPr>
          <w:rFonts w:hint="eastAsia" w:ascii="宋体" w:hAnsi="宋体" w:cs="宋体"/>
          <w:szCs w:val="21"/>
        </w:rPr>
        <w:instrText xml:space="preserve"> PAGEREF _Toc9075 \h </w:instrText>
      </w:r>
      <w:r>
        <w:rPr>
          <w:rFonts w:hint="eastAsia" w:ascii="宋体" w:hAnsi="宋体" w:cs="宋体"/>
          <w:szCs w:val="21"/>
        </w:rPr>
        <w:fldChar w:fldCharType="separate"/>
      </w:r>
      <w:r>
        <w:rPr>
          <w:rFonts w:hint="eastAsia" w:ascii="宋体" w:hAnsi="宋体" w:cs="宋体"/>
          <w:szCs w:val="21"/>
        </w:rPr>
        <w:t>2</w:t>
      </w:r>
      <w:r>
        <w:rPr>
          <w:rFonts w:hint="eastAsia" w:ascii="宋体" w:hAnsi="宋体" w:cs="宋体"/>
          <w:szCs w:val="21"/>
        </w:rPr>
        <w:fldChar w:fldCharType="end"/>
      </w:r>
      <w:r>
        <w:rPr>
          <w:rFonts w:hint="eastAsia" w:ascii="宋体" w:hAnsi="宋体" w:cs="宋体"/>
          <w:szCs w:val="21"/>
        </w:rPr>
        <w:fldChar w:fldCharType="end"/>
      </w:r>
    </w:p>
    <w:p>
      <w:pPr>
        <w:pStyle w:val="23"/>
        <w:tabs>
          <w:tab w:val="right" w:leader="dot" w:pos="8958"/>
        </w:tabs>
        <w:snapToGrid w:val="0"/>
        <w:spacing w:line="480" w:lineRule="auto"/>
        <w:rPr>
          <w:rFonts w:ascii="宋体" w:hAnsi="宋体" w:cs="宋体"/>
          <w:szCs w:val="21"/>
        </w:rPr>
      </w:pPr>
      <w:r>
        <w:fldChar w:fldCharType="begin"/>
      </w:r>
      <w:r>
        <w:instrText xml:space="preserve"> HYPERLINK \l "_Toc25063" </w:instrText>
      </w:r>
      <w:r>
        <w:fldChar w:fldCharType="separate"/>
      </w:r>
      <w:r>
        <w:rPr>
          <w:rFonts w:hint="eastAsia" w:ascii="宋体" w:hAnsi="宋体" w:cs="宋体"/>
          <w:szCs w:val="21"/>
        </w:rPr>
        <w:t>第二章  采购需求</w:t>
      </w:r>
      <w:r>
        <w:rPr>
          <w:rFonts w:hint="eastAsia" w:ascii="宋体" w:hAnsi="宋体" w:cs="宋体"/>
          <w:szCs w:val="21"/>
        </w:rPr>
        <w:tab/>
      </w:r>
      <w:r>
        <w:rPr>
          <w:rFonts w:hint="eastAsia" w:ascii="宋体" w:hAnsi="宋体" w:cs="宋体"/>
          <w:szCs w:val="21"/>
        </w:rPr>
        <w:fldChar w:fldCharType="begin"/>
      </w:r>
      <w:r>
        <w:rPr>
          <w:rFonts w:hint="eastAsia" w:ascii="宋体" w:hAnsi="宋体" w:cs="宋体"/>
          <w:szCs w:val="21"/>
        </w:rPr>
        <w:instrText xml:space="preserve"> PAGEREF _Toc25063 \h </w:instrText>
      </w:r>
      <w:r>
        <w:rPr>
          <w:rFonts w:hint="eastAsia" w:ascii="宋体" w:hAnsi="宋体" w:cs="宋体"/>
          <w:szCs w:val="21"/>
        </w:rPr>
        <w:fldChar w:fldCharType="separate"/>
      </w:r>
      <w:r>
        <w:rPr>
          <w:rFonts w:hint="eastAsia" w:ascii="宋体" w:hAnsi="宋体" w:cs="宋体"/>
          <w:szCs w:val="21"/>
        </w:rPr>
        <w:t>4</w:t>
      </w:r>
      <w:r>
        <w:rPr>
          <w:rFonts w:hint="eastAsia" w:ascii="宋体" w:hAnsi="宋体" w:cs="宋体"/>
          <w:szCs w:val="21"/>
        </w:rPr>
        <w:fldChar w:fldCharType="end"/>
      </w:r>
      <w:r>
        <w:rPr>
          <w:rFonts w:hint="eastAsia" w:ascii="宋体" w:hAnsi="宋体" w:cs="宋体"/>
          <w:szCs w:val="21"/>
        </w:rPr>
        <w:fldChar w:fldCharType="end"/>
      </w:r>
    </w:p>
    <w:p>
      <w:pPr>
        <w:pStyle w:val="23"/>
        <w:tabs>
          <w:tab w:val="right" w:leader="dot" w:pos="8958"/>
        </w:tabs>
        <w:snapToGrid w:val="0"/>
        <w:spacing w:line="480" w:lineRule="auto"/>
        <w:rPr>
          <w:rFonts w:ascii="宋体" w:hAnsi="宋体" w:cs="宋体"/>
          <w:szCs w:val="21"/>
        </w:rPr>
      </w:pPr>
      <w:r>
        <w:fldChar w:fldCharType="begin"/>
      </w:r>
      <w:r>
        <w:instrText xml:space="preserve"> HYPERLINK \l "_Toc14504" </w:instrText>
      </w:r>
      <w:r>
        <w:fldChar w:fldCharType="separate"/>
      </w:r>
      <w:r>
        <w:rPr>
          <w:rFonts w:hint="eastAsia" w:ascii="宋体" w:hAnsi="宋体" w:cs="宋体"/>
          <w:szCs w:val="21"/>
        </w:rPr>
        <w:t>第三章  供应商须知</w:t>
      </w:r>
      <w:r>
        <w:rPr>
          <w:rFonts w:hint="eastAsia" w:ascii="宋体" w:hAnsi="宋体" w:cs="宋体"/>
          <w:szCs w:val="21"/>
        </w:rPr>
        <w:tab/>
      </w:r>
      <w:r>
        <w:rPr>
          <w:rFonts w:hint="eastAsia" w:ascii="宋体" w:hAnsi="宋体" w:cs="宋体"/>
          <w:szCs w:val="21"/>
        </w:rPr>
        <w:fldChar w:fldCharType="begin"/>
      </w:r>
      <w:r>
        <w:rPr>
          <w:rFonts w:hint="eastAsia" w:ascii="宋体" w:hAnsi="宋体" w:cs="宋体"/>
          <w:szCs w:val="21"/>
        </w:rPr>
        <w:instrText xml:space="preserve"> PAGEREF _Toc14504 \h </w:instrText>
      </w:r>
      <w:r>
        <w:rPr>
          <w:rFonts w:hint="eastAsia" w:ascii="宋体" w:hAnsi="宋体" w:cs="宋体"/>
          <w:szCs w:val="21"/>
        </w:rPr>
        <w:fldChar w:fldCharType="separate"/>
      </w:r>
      <w:r>
        <w:rPr>
          <w:rFonts w:hint="eastAsia" w:ascii="宋体" w:hAnsi="宋体" w:cs="宋体"/>
          <w:szCs w:val="21"/>
        </w:rPr>
        <w:t>4</w:t>
      </w:r>
      <w:r>
        <w:rPr>
          <w:rFonts w:hint="eastAsia" w:ascii="宋体" w:hAnsi="宋体" w:cs="宋体"/>
          <w:szCs w:val="21"/>
        </w:rPr>
        <w:fldChar w:fldCharType="end"/>
      </w:r>
      <w:r>
        <w:rPr>
          <w:rFonts w:hint="eastAsia" w:ascii="宋体" w:hAnsi="宋体" w:cs="宋体"/>
          <w:szCs w:val="21"/>
        </w:rPr>
        <w:fldChar w:fldCharType="end"/>
      </w:r>
    </w:p>
    <w:p>
      <w:pPr>
        <w:pStyle w:val="23"/>
        <w:tabs>
          <w:tab w:val="right" w:leader="dot" w:pos="8958"/>
        </w:tabs>
        <w:snapToGrid w:val="0"/>
        <w:spacing w:line="480" w:lineRule="auto"/>
        <w:rPr>
          <w:rFonts w:ascii="宋体" w:hAnsi="宋体" w:cs="宋体"/>
          <w:szCs w:val="21"/>
        </w:rPr>
      </w:pPr>
      <w:r>
        <w:fldChar w:fldCharType="begin"/>
      </w:r>
      <w:r>
        <w:instrText xml:space="preserve"> HYPERLINK \l "_Toc9022" </w:instrText>
      </w:r>
      <w:r>
        <w:fldChar w:fldCharType="separate"/>
      </w:r>
      <w:r>
        <w:rPr>
          <w:rFonts w:hint="eastAsia" w:ascii="宋体" w:hAnsi="宋体" w:cs="宋体"/>
          <w:kern w:val="0"/>
          <w:szCs w:val="21"/>
        </w:rPr>
        <w:t>第四章  评标办法及评分标准</w:t>
      </w:r>
      <w:r>
        <w:rPr>
          <w:rFonts w:hint="eastAsia" w:ascii="宋体" w:hAnsi="宋体" w:cs="宋体"/>
          <w:szCs w:val="21"/>
        </w:rPr>
        <w:tab/>
      </w:r>
      <w:r>
        <w:rPr>
          <w:rFonts w:hint="eastAsia" w:ascii="宋体" w:hAnsi="宋体" w:cs="宋体"/>
          <w:szCs w:val="21"/>
        </w:rPr>
        <w:fldChar w:fldCharType="begin"/>
      </w:r>
      <w:r>
        <w:rPr>
          <w:rFonts w:hint="eastAsia" w:ascii="宋体" w:hAnsi="宋体" w:cs="宋体"/>
          <w:szCs w:val="21"/>
        </w:rPr>
        <w:instrText xml:space="preserve"> PAGEREF _Toc9022 \h </w:instrText>
      </w:r>
      <w:r>
        <w:rPr>
          <w:rFonts w:hint="eastAsia" w:ascii="宋体" w:hAnsi="宋体" w:cs="宋体"/>
          <w:szCs w:val="21"/>
        </w:rPr>
        <w:fldChar w:fldCharType="separate"/>
      </w:r>
      <w:r>
        <w:rPr>
          <w:rFonts w:hint="eastAsia" w:ascii="宋体" w:hAnsi="宋体" w:cs="宋体"/>
          <w:szCs w:val="21"/>
        </w:rPr>
        <w:t>16</w:t>
      </w:r>
      <w:r>
        <w:rPr>
          <w:rFonts w:hint="eastAsia" w:ascii="宋体" w:hAnsi="宋体" w:cs="宋体"/>
          <w:szCs w:val="21"/>
        </w:rPr>
        <w:fldChar w:fldCharType="end"/>
      </w:r>
      <w:r>
        <w:rPr>
          <w:rFonts w:hint="eastAsia" w:ascii="宋体" w:hAnsi="宋体" w:cs="宋体"/>
          <w:szCs w:val="21"/>
        </w:rPr>
        <w:fldChar w:fldCharType="end"/>
      </w:r>
    </w:p>
    <w:p>
      <w:pPr>
        <w:pStyle w:val="23"/>
        <w:tabs>
          <w:tab w:val="right" w:leader="dot" w:pos="8958"/>
        </w:tabs>
        <w:snapToGrid w:val="0"/>
        <w:spacing w:line="480" w:lineRule="auto"/>
        <w:rPr>
          <w:rFonts w:ascii="宋体" w:hAnsi="宋体" w:cs="宋体"/>
          <w:szCs w:val="21"/>
        </w:rPr>
      </w:pPr>
      <w:r>
        <w:fldChar w:fldCharType="begin"/>
      </w:r>
      <w:r>
        <w:instrText xml:space="preserve"> HYPERLINK \l "_Toc28988" </w:instrText>
      </w:r>
      <w:r>
        <w:fldChar w:fldCharType="separate"/>
      </w:r>
      <w:r>
        <w:rPr>
          <w:rFonts w:hint="eastAsia" w:ascii="宋体" w:hAnsi="宋体" w:cs="宋体"/>
          <w:szCs w:val="21"/>
        </w:rPr>
        <w:t>第五章  采购合同（主要条款）</w:t>
      </w:r>
      <w:r>
        <w:rPr>
          <w:rFonts w:hint="eastAsia" w:ascii="宋体" w:hAnsi="宋体" w:cs="宋体"/>
          <w:szCs w:val="21"/>
        </w:rPr>
        <w:tab/>
      </w:r>
      <w:r>
        <w:rPr>
          <w:rFonts w:hint="eastAsia" w:ascii="宋体" w:hAnsi="宋体" w:cs="宋体"/>
          <w:szCs w:val="21"/>
        </w:rPr>
        <w:fldChar w:fldCharType="begin"/>
      </w:r>
      <w:r>
        <w:rPr>
          <w:rFonts w:hint="eastAsia" w:ascii="宋体" w:hAnsi="宋体" w:cs="宋体"/>
          <w:szCs w:val="21"/>
        </w:rPr>
        <w:instrText xml:space="preserve"> PAGEREF _Toc28988 \h </w:instrText>
      </w:r>
      <w:r>
        <w:rPr>
          <w:rFonts w:hint="eastAsia" w:ascii="宋体" w:hAnsi="宋体" w:cs="宋体"/>
          <w:szCs w:val="21"/>
        </w:rPr>
        <w:fldChar w:fldCharType="separate"/>
      </w:r>
      <w:r>
        <w:rPr>
          <w:rFonts w:hint="eastAsia" w:ascii="宋体" w:hAnsi="宋体" w:cs="宋体"/>
          <w:szCs w:val="21"/>
        </w:rPr>
        <w:t>17</w:t>
      </w:r>
      <w:r>
        <w:rPr>
          <w:rFonts w:hint="eastAsia" w:ascii="宋体" w:hAnsi="宋体" w:cs="宋体"/>
          <w:szCs w:val="21"/>
        </w:rPr>
        <w:fldChar w:fldCharType="end"/>
      </w:r>
      <w:r>
        <w:rPr>
          <w:rFonts w:hint="eastAsia" w:ascii="宋体" w:hAnsi="宋体" w:cs="宋体"/>
          <w:szCs w:val="21"/>
        </w:rPr>
        <w:fldChar w:fldCharType="end"/>
      </w:r>
    </w:p>
    <w:p>
      <w:pPr>
        <w:pStyle w:val="23"/>
        <w:tabs>
          <w:tab w:val="right" w:leader="dot" w:pos="8958"/>
        </w:tabs>
        <w:snapToGrid w:val="0"/>
        <w:spacing w:line="480" w:lineRule="auto"/>
        <w:rPr>
          <w:rFonts w:ascii="宋体" w:hAnsi="宋体" w:cs="宋体"/>
          <w:b/>
          <w:bCs/>
          <w:sz w:val="32"/>
          <w:szCs w:val="32"/>
        </w:rPr>
      </w:pPr>
      <w:r>
        <w:fldChar w:fldCharType="begin"/>
      </w:r>
      <w:r>
        <w:instrText xml:space="preserve"> HYPERLINK \l "_Toc2638" </w:instrText>
      </w:r>
      <w:r>
        <w:fldChar w:fldCharType="separate"/>
      </w:r>
      <w:r>
        <w:rPr>
          <w:rFonts w:hint="eastAsia" w:ascii="宋体" w:hAnsi="宋体" w:cs="宋体"/>
          <w:szCs w:val="21"/>
        </w:rPr>
        <w:t>第六章  投标文件格式</w:t>
      </w:r>
      <w:r>
        <w:rPr>
          <w:rFonts w:hint="eastAsia" w:ascii="宋体" w:hAnsi="宋体" w:cs="宋体"/>
          <w:szCs w:val="21"/>
        </w:rPr>
        <w:tab/>
      </w:r>
      <w:r>
        <w:rPr>
          <w:rFonts w:hint="eastAsia" w:ascii="宋体" w:hAnsi="宋体" w:cs="宋体"/>
          <w:szCs w:val="21"/>
        </w:rPr>
        <w:fldChar w:fldCharType="begin"/>
      </w:r>
      <w:r>
        <w:rPr>
          <w:rFonts w:hint="eastAsia" w:ascii="宋体" w:hAnsi="宋体" w:cs="宋体"/>
          <w:szCs w:val="21"/>
        </w:rPr>
        <w:instrText xml:space="preserve"> PAGEREF _Toc2638 \h </w:instrText>
      </w:r>
      <w:r>
        <w:rPr>
          <w:rFonts w:hint="eastAsia" w:ascii="宋体" w:hAnsi="宋体" w:cs="宋体"/>
          <w:szCs w:val="21"/>
        </w:rPr>
        <w:fldChar w:fldCharType="separate"/>
      </w:r>
      <w:r>
        <w:rPr>
          <w:rFonts w:hint="eastAsia" w:ascii="宋体" w:hAnsi="宋体" w:cs="宋体"/>
          <w:szCs w:val="21"/>
        </w:rPr>
        <w:t>18</w:t>
      </w:r>
      <w:r>
        <w:rPr>
          <w:rFonts w:hint="eastAsia" w:ascii="宋体" w:hAnsi="宋体" w:cs="宋体"/>
          <w:szCs w:val="21"/>
        </w:rPr>
        <w:fldChar w:fldCharType="end"/>
      </w:r>
      <w:r>
        <w:rPr>
          <w:rFonts w:hint="eastAsia" w:ascii="宋体" w:hAnsi="宋体" w:cs="宋体"/>
          <w:szCs w:val="21"/>
        </w:rPr>
        <w:fldChar w:fldCharType="end"/>
      </w:r>
    </w:p>
    <w:p>
      <w:pPr>
        <w:pStyle w:val="82"/>
        <w:tabs>
          <w:tab w:val="right" w:leader="dot" w:pos="8300"/>
        </w:tabs>
        <w:snapToGrid w:val="0"/>
        <w:spacing w:line="480" w:lineRule="auto"/>
        <w:rPr>
          <w:rFonts w:ascii="宋体" w:hAnsi="宋体" w:cs="宋体"/>
          <w:sz w:val="32"/>
          <w:szCs w:val="32"/>
        </w:rPr>
      </w:pPr>
      <w:r>
        <w:rPr>
          <w:rFonts w:hint="eastAsia" w:ascii="宋体" w:hAnsi="宋体" w:cs="宋体"/>
          <w:b/>
          <w:bCs/>
          <w:sz w:val="32"/>
          <w:szCs w:val="32"/>
        </w:rPr>
        <w:fldChar w:fldCharType="end"/>
      </w:r>
    </w:p>
    <w:p>
      <w:pPr>
        <w:spacing w:line="440" w:lineRule="exact"/>
        <w:rPr>
          <w:rFonts w:ascii="宋体" w:hAnsi="宋体"/>
          <w:b/>
          <w:sz w:val="32"/>
          <w:szCs w:val="32"/>
        </w:rPr>
      </w:pPr>
    </w:p>
    <w:p>
      <w:pPr>
        <w:spacing w:line="360" w:lineRule="auto"/>
        <w:ind w:firstLine="2409" w:firstLineChars="600"/>
        <w:rPr>
          <w:rFonts w:ascii="宋体" w:hAnsi="宋体"/>
          <w:b/>
          <w:sz w:val="40"/>
          <w:szCs w:val="40"/>
        </w:rPr>
        <w:sectPr>
          <w:headerReference r:id="rId3" w:type="default"/>
          <w:footerReference r:id="rId4" w:type="default"/>
          <w:pgSz w:w="11906" w:h="16838"/>
          <w:pgMar w:top="1417" w:right="1474" w:bottom="1417" w:left="1474" w:header="851" w:footer="624" w:gutter="0"/>
          <w:pgNumType w:start="1"/>
          <w:cols w:space="720" w:num="1"/>
          <w:docGrid w:type="lines" w:linePitch="319" w:charSpace="0"/>
        </w:sectPr>
      </w:pPr>
    </w:p>
    <w:p>
      <w:pPr>
        <w:spacing w:line="360" w:lineRule="auto"/>
        <w:jc w:val="center"/>
        <w:outlineLvl w:val="0"/>
        <w:rPr>
          <w:rFonts w:ascii="宋体" w:hAnsi="宋体"/>
          <w:b/>
          <w:sz w:val="32"/>
          <w:szCs w:val="32"/>
        </w:rPr>
      </w:pPr>
      <w:bookmarkStart w:id="2" w:name="_Toc9075"/>
      <w:r>
        <w:rPr>
          <w:rFonts w:hint="eastAsia" w:ascii="宋体" w:hAnsi="宋体"/>
          <w:b/>
          <w:sz w:val="32"/>
          <w:szCs w:val="32"/>
        </w:rPr>
        <w:t>第一章  竞争性磋商采购公告</w:t>
      </w:r>
      <w:bookmarkEnd w:id="2"/>
    </w:p>
    <w:p>
      <w:pPr>
        <w:widowControl/>
        <w:adjustRightInd w:val="0"/>
        <w:snapToGrid w:val="0"/>
        <w:spacing w:line="360" w:lineRule="auto"/>
        <w:jc w:val="center"/>
        <w:rPr>
          <w:rFonts w:hint="eastAsia" w:ascii="宋体" w:hAnsi="宋体" w:eastAsia="宋体" w:cs="宋体"/>
          <w:b/>
          <w:kern w:val="0"/>
          <w:sz w:val="28"/>
          <w:szCs w:val="28"/>
          <w:lang w:eastAsia="zh-CN"/>
        </w:rPr>
      </w:pPr>
      <w:r>
        <w:rPr>
          <w:rFonts w:hint="eastAsia" w:ascii="宋体" w:hAnsi="宋体" w:cs="宋体"/>
          <w:b/>
          <w:kern w:val="0"/>
          <w:sz w:val="28"/>
          <w:szCs w:val="28"/>
          <w:lang w:eastAsia="zh-CN"/>
        </w:rPr>
        <w:t>驻马店市中心医院西门子3.0T磁共振技术保项目（二次）</w:t>
      </w:r>
    </w:p>
    <w:p>
      <w:pPr>
        <w:widowControl/>
        <w:adjustRightInd w:val="0"/>
        <w:snapToGrid w:val="0"/>
        <w:spacing w:afterLines="50" w:line="360" w:lineRule="auto"/>
        <w:jc w:val="center"/>
        <w:rPr>
          <w:rFonts w:ascii="宋体" w:hAnsi="宋体" w:cs="宋体"/>
          <w:b/>
          <w:kern w:val="0"/>
          <w:sz w:val="28"/>
          <w:szCs w:val="28"/>
        </w:rPr>
      </w:pPr>
      <w:r>
        <w:rPr>
          <w:rFonts w:hint="eastAsia" w:ascii="宋体" w:hAnsi="宋体" w:cs="宋体"/>
          <w:b/>
          <w:kern w:val="0"/>
          <w:sz w:val="28"/>
          <w:szCs w:val="28"/>
        </w:rPr>
        <w:t>竞争性磋商公告</w:t>
      </w:r>
    </w:p>
    <w:p>
      <w:pPr>
        <w:snapToGrid w:val="0"/>
        <w:spacing w:line="360" w:lineRule="auto"/>
        <w:ind w:firstLine="420" w:firstLineChars="200"/>
        <w:rPr>
          <w:rFonts w:ascii="宋体" w:hAnsi="宋体" w:cs="宋体"/>
          <w:szCs w:val="21"/>
        </w:rPr>
      </w:pPr>
      <w:r>
        <w:rPr>
          <w:rFonts w:hint="eastAsia" w:ascii="宋体" w:hAnsi="宋体" w:cs="宋体"/>
        </w:rPr>
        <w:t>驻马店市中心医院现对</w:t>
      </w:r>
      <w:r>
        <w:rPr>
          <w:rFonts w:hint="eastAsia" w:ascii="宋体" w:hAnsi="宋体" w:cs="宋体"/>
          <w:u w:val="single"/>
        </w:rPr>
        <w:t xml:space="preserve"> </w:t>
      </w:r>
      <w:r>
        <w:rPr>
          <w:rFonts w:hint="eastAsia" w:ascii="宋体" w:hAnsi="宋体" w:cs="宋体"/>
          <w:u w:val="single"/>
          <w:lang w:eastAsia="zh-CN"/>
        </w:rPr>
        <w:t>西门子3.0T磁共振技术保</w:t>
      </w:r>
      <w:r>
        <w:rPr>
          <w:rFonts w:hint="eastAsia" w:ascii="宋体" w:hAnsi="宋体" w:cs="宋体"/>
          <w:u w:val="single"/>
        </w:rPr>
        <w:t xml:space="preserve"> </w:t>
      </w:r>
      <w:r>
        <w:rPr>
          <w:rFonts w:hint="eastAsia" w:ascii="宋体" w:hAnsi="宋体" w:cs="宋体"/>
        </w:rPr>
        <w:t>进行院内竞争性磋商采购，欢迎符合资格条件的供应商前来报名并</w:t>
      </w:r>
      <w:r>
        <w:rPr>
          <w:rFonts w:hint="eastAsia" w:ascii="宋体" w:hAnsi="宋体" w:cs="宋体"/>
          <w:szCs w:val="21"/>
        </w:rPr>
        <w:t>获取采购文件。</w:t>
      </w:r>
    </w:p>
    <w:p>
      <w:pPr>
        <w:widowControl/>
        <w:snapToGrid w:val="0"/>
        <w:spacing w:line="360" w:lineRule="auto"/>
        <w:jc w:val="left"/>
        <w:outlineLvl w:val="1"/>
        <w:rPr>
          <w:rFonts w:ascii="宋体" w:hAnsi="宋体" w:cs="宋体"/>
          <w:b/>
          <w:bCs/>
          <w:szCs w:val="21"/>
          <w:shd w:val="clear" w:color="auto" w:fill="FFFFFF"/>
        </w:rPr>
      </w:pPr>
      <w:r>
        <w:rPr>
          <w:rFonts w:hint="eastAsia" w:ascii="宋体" w:hAnsi="宋体" w:cs="宋体"/>
          <w:b/>
          <w:bCs/>
          <w:szCs w:val="21"/>
          <w:shd w:val="clear" w:color="auto" w:fill="FFFFFF"/>
        </w:rPr>
        <w:t>一、项目基本情况</w:t>
      </w:r>
    </w:p>
    <w:p>
      <w:pPr>
        <w:widowControl/>
        <w:tabs>
          <w:tab w:val="left" w:pos="840"/>
        </w:tabs>
        <w:snapToGrid w:val="0"/>
        <w:spacing w:line="360"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1、采购项目名称：</w:t>
      </w:r>
      <w:r>
        <w:rPr>
          <w:rFonts w:hint="eastAsia" w:ascii="宋体" w:hAnsi="宋体" w:cs="宋体"/>
          <w:szCs w:val="21"/>
          <w:shd w:val="clear" w:color="auto" w:fill="FFFFFF"/>
          <w:lang w:eastAsia="zh-CN"/>
        </w:rPr>
        <w:t>驻马店市中心医院西门子3.0T磁共振技术保项目（二次）</w:t>
      </w:r>
      <w:r>
        <w:rPr>
          <w:rFonts w:hint="eastAsia" w:ascii="宋体" w:hAnsi="宋体" w:cs="宋体"/>
          <w:szCs w:val="21"/>
          <w:shd w:val="clear" w:color="auto" w:fill="FFFFFF"/>
        </w:rPr>
        <w:t>；</w:t>
      </w:r>
    </w:p>
    <w:p>
      <w:pPr>
        <w:widowControl/>
        <w:tabs>
          <w:tab w:val="left" w:pos="840"/>
        </w:tabs>
        <w:snapToGrid w:val="0"/>
        <w:spacing w:line="360"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2、采购需求：具体要求详见附件；</w:t>
      </w:r>
    </w:p>
    <w:p>
      <w:pPr>
        <w:widowControl/>
        <w:tabs>
          <w:tab w:val="left" w:pos="840"/>
        </w:tabs>
        <w:snapToGrid w:val="0"/>
        <w:spacing w:line="360"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3</w:t>
      </w:r>
      <w:bookmarkStart w:id="3" w:name="_Toc26725"/>
      <w:r>
        <w:rPr>
          <w:rFonts w:hint="eastAsia" w:ascii="宋体" w:hAnsi="宋体" w:cs="宋体"/>
          <w:szCs w:val="21"/>
          <w:shd w:val="clear" w:color="auto" w:fill="FFFFFF"/>
        </w:rPr>
        <w:t>、预算金额：</w:t>
      </w:r>
      <w:r>
        <w:rPr>
          <w:rFonts w:hint="eastAsia" w:ascii="宋体" w:hAnsi="宋体" w:cs="宋体"/>
          <w:szCs w:val="21"/>
          <w:shd w:val="clear" w:color="auto" w:fill="FFFFFF"/>
          <w:lang w:val="en-US" w:eastAsia="zh-CN"/>
        </w:rPr>
        <w:t>47</w:t>
      </w:r>
      <w:r>
        <w:rPr>
          <w:rFonts w:hint="eastAsia" w:ascii="宋体" w:hAnsi="宋体" w:cs="宋体"/>
          <w:szCs w:val="21"/>
          <w:shd w:val="clear" w:color="auto" w:fill="FFFFFF"/>
        </w:rPr>
        <w:t>万；</w:t>
      </w:r>
    </w:p>
    <w:p>
      <w:pPr>
        <w:widowControl/>
        <w:tabs>
          <w:tab w:val="left" w:pos="840"/>
        </w:tabs>
        <w:snapToGrid w:val="0"/>
        <w:spacing w:line="360"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4、服务期限：1年；</w:t>
      </w:r>
    </w:p>
    <w:p>
      <w:pPr>
        <w:widowControl/>
        <w:tabs>
          <w:tab w:val="left" w:pos="840"/>
        </w:tabs>
        <w:snapToGrid w:val="0"/>
        <w:spacing w:line="360" w:lineRule="auto"/>
        <w:ind w:firstLine="420" w:firstLineChars="200"/>
        <w:jc w:val="left"/>
        <w:rPr>
          <w:rFonts w:ascii="宋体" w:hAnsi="宋体" w:cs="宋体"/>
          <w:szCs w:val="21"/>
          <w:shd w:val="clear" w:color="auto" w:fill="FFFFFF"/>
        </w:rPr>
      </w:pPr>
      <w:r>
        <w:rPr>
          <w:rFonts w:hint="eastAsia" w:ascii="宋体" w:hAnsi="宋体" w:cs="宋体"/>
          <w:szCs w:val="21"/>
          <w:shd w:val="clear" w:color="auto" w:fill="FFFFFF"/>
        </w:rPr>
        <w:t>5、质量要求：符合国家现行标准要求。</w:t>
      </w:r>
    </w:p>
    <w:p>
      <w:pPr>
        <w:widowControl/>
        <w:snapToGrid w:val="0"/>
        <w:spacing w:line="360" w:lineRule="auto"/>
        <w:jc w:val="left"/>
        <w:outlineLvl w:val="1"/>
        <w:rPr>
          <w:rFonts w:ascii="宋体" w:hAnsi="宋体" w:cs="宋体"/>
          <w:b/>
          <w:bCs/>
          <w:color w:val="000000" w:themeColor="text1"/>
          <w:szCs w:val="21"/>
          <w:shd w:val="clear" w:color="auto" w:fill="FFFFFF"/>
        </w:rPr>
      </w:pPr>
      <w:bookmarkStart w:id="4" w:name="_Toc27704"/>
      <w:bookmarkStart w:id="5" w:name="_Toc18607"/>
      <w:bookmarkStart w:id="6" w:name="_Toc16639"/>
      <w:bookmarkStart w:id="7" w:name="_Toc23626"/>
      <w:r>
        <w:rPr>
          <w:rFonts w:hint="eastAsia" w:ascii="宋体" w:hAnsi="宋体" w:cs="宋体"/>
          <w:b/>
          <w:bCs/>
          <w:color w:val="000000" w:themeColor="text1"/>
          <w:szCs w:val="21"/>
          <w:shd w:val="clear" w:color="auto" w:fill="FFFFFF"/>
        </w:rPr>
        <w:t>二、</w:t>
      </w:r>
      <w:bookmarkEnd w:id="3"/>
      <w:bookmarkEnd w:id="4"/>
      <w:bookmarkEnd w:id="5"/>
      <w:bookmarkEnd w:id="6"/>
      <w:bookmarkEnd w:id="7"/>
      <w:r>
        <w:rPr>
          <w:rFonts w:hint="eastAsia" w:ascii="宋体" w:hAnsi="宋体" w:cs="宋体"/>
          <w:b/>
          <w:bCs/>
          <w:color w:val="000000" w:themeColor="text1"/>
          <w:szCs w:val="21"/>
          <w:shd w:val="clear" w:color="auto" w:fill="FFFFFF"/>
        </w:rPr>
        <w:t>供应商资格要求：</w:t>
      </w:r>
    </w:p>
    <w:p>
      <w:pPr>
        <w:pStyle w:val="14"/>
        <w:widowControl w:val="0"/>
        <w:snapToGrid w:val="0"/>
        <w:spacing w:beforeAutospacing="0" w:afterAutospacing="0" w:line="360" w:lineRule="auto"/>
        <w:ind w:firstLine="420" w:firstLineChars="200"/>
        <w:rPr>
          <w:color w:val="000000" w:themeColor="text1"/>
          <w:kern w:val="2"/>
          <w:sz w:val="21"/>
        </w:rPr>
      </w:pPr>
      <w:bookmarkStart w:id="8" w:name="_Toc9562"/>
      <w:bookmarkStart w:id="9" w:name="_Toc23395"/>
      <w:bookmarkStart w:id="10" w:name="_Toc30971"/>
      <w:bookmarkStart w:id="11" w:name="_Toc30643"/>
      <w:bookmarkStart w:id="12" w:name="_Toc7823"/>
      <w:r>
        <w:rPr>
          <w:rFonts w:hint="eastAsia"/>
          <w:color w:val="000000" w:themeColor="text1"/>
          <w:kern w:val="2"/>
          <w:sz w:val="21"/>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pStyle w:val="14"/>
        <w:widowControl w:val="0"/>
        <w:snapToGrid w:val="0"/>
        <w:spacing w:beforeAutospacing="0" w:afterAutospacing="0" w:line="360" w:lineRule="auto"/>
        <w:ind w:firstLine="420" w:firstLineChars="200"/>
        <w:rPr>
          <w:color w:val="000000" w:themeColor="text1"/>
          <w:kern w:val="2"/>
          <w:sz w:val="21"/>
        </w:rPr>
      </w:pPr>
      <w:r>
        <w:rPr>
          <w:rFonts w:hint="eastAsia"/>
          <w:color w:val="000000" w:themeColor="text1"/>
          <w:kern w:val="2"/>
          <w:sz w:val="21"/>
        </w:rPr>
        <w:t>2、供应商应提供2022年度经审计的财务报告或者其基本开户银行出具的资信证明；采购活动近三个月或上个季度任意一个月的依法缴纳税收的凭据和缴纳社会保险的凭据；依法免税或不需要缴纳社会保障资金的供应商，应提供相应文件证明其依法免税或不需要缴纳社会保障资金。（新成立企业从成立之日起计算）；</w:t>
      </w:r>
    </w:p>
    <w:p>
      <w:pPr>
        <w:pStyle w:val="14"/>
        <w:widowControl w:val="0"/>
        <w:snapToGrid w:val="0"/>
        <w:spacing w:beforeAutospacing="0" w:afterAutospacing="0" w:line="360" w:lineRule="auto"/>
        <w:ind w:firstLine="420" w:firstLineChars="200"/>
        <w:rPr>
          <w:color w:val="000000" w:themeColor="text1"/>
          <w:kern w:val="2"/>
          <w:sz w:val="21"/>
        </w:rPr>
      </w:pPr>
      <w:r>
        <w:rPr>
          <w:rFonts w:hint="eastAsia"/>
          <w:color w:val="000000" w:themeColor="text1"/>
          <w:kern w:val="2"/>
          <w:sz w:val="21"/>
        </w:rPr>
        <w:t>3、具有履行合同所必需的设备和专业技术能力（提供书面声明函）；</w:t>
      </w:r>
    </w:p>
    <w:p>
      <w:pPr>
        <w:pStyle w:val="14"/>
        <w:widowControl w:val="0"/>
        <w:snapToGrid w:val="0"/>
        <w:spacing w:beforeAutospacing="0" w:afterAutospacing="0" w:line="360" w:lineRule="auto"/>
        <w:ind w:firstLine="420" w:firstLineChars="200"/>
        <w:rPr>
          <w:color w:val="000000" w:themeColor="text1"/>
          <w:kern w:val="2"/>
          <w:sz w:val="21"/>
        </w:rPr>
      </w:pPr>
      <w:r>
        <w:rPr>
          <w:rFonts w:hint="eastAsia"/>
          <w:color w:val="000000" w:themeColor="text1"/>
          <w:kern w:val="2"/>
          <w:sz w:val="21"/>
        </w:rPr>
        <w:t>4、参加本采购活动前三年内，在经营活动中没有重大违法记录（提供书面声明函）；</w:t>
      </w:r>
    </w:p>
    <w:p>
      <w:pPr>
        <w:pStyle w:val="14"/>
        <w:widowControl w:val="0"/>
        <w:snapToGrid w:val="0"/>
        <w:spacing w:beforeAutospacing="0" w:afterAutospacing="0" w:line="360" w:lineRule="auto"/>
        <w:ind w:firstLine="420" w:firstLineChars="200"/>
        <w:rPr>
          <w:color w:val="000000" w:themeColor="text1"/>
          <w:kern w:val="2"/>
          <w:sz w:val="21"/>
        </w:rPr>
      </w:pPr>
      <w:r>
        <w:rPr>
          <w:rFonts w:hint="eastAsia"/>
          <w:color w:val="000000" w:themeColor="text1"/>
          <w:kern w:val="2"/>
          <w:sz w:val="21"/>
        </w:rPr>
        <w:t>5、符合法律、行政法规规定的其他条件；</w:t>
      </w:r>
    </w:p>
    <w:p>
      <w:pPr>
        <w:pStyle w:val="14"/>
        <w:widowControl w:val="0"/>
        <w:snapToGrid w:val="0"/>
        <w:spacing w:beforeAutospacing="0" w:afterAutospacing="0" w:line="360" w:lineRule="auto"/>
        <w:ind w:firstLine="420" w:firstLineChars="200"/>
        <w:rPr>
          <w:color w:val="000000" w:themeColor="text1"/>
          <w:kern w:val="2"/>
          <w:sz w:val="21"/>
        </w:rPr>
      </w:pPr>
      <w:r>
        <w:rPr>
          <w:rFonts w:hint="eastAsia"/>
          <w:color w:val="000000" w:themeColor="text1"/>
          <w:kern w:val="2"/>
          <w:sz w:val="21"/>
        </w:rPr>
        <w:t>6、特定资格要求：投标人须具有医疗器械经营许可证，是在中华人民共和国境内注册的设备原制造厂商或原制造厂商授权的单位或具备相关设备维修能力的单位（提供证明文件）。</w:t>
      </w:r>
    </w:p>
    <w:p>
      <w:pPr>
        <w:pStyle w:val="14"/>
        <w:widowControl w:val="0"/>
        <w:snapToGrid w:val="0"/>
        <w:spacing w:beforeAutospacing="0" w:afterAutospacing="0" w:line="360" w:lineRule="auto"/>
        <w:ind w:firstLine="420" w:firstLineChars="200"/>
        <w:rPr>
          <w:color w:val="000000" w:themeColor="text1"/>
          <w:kern w:val="2"/>
          <w:sz w:val="21"/>
        </w:rPr>
      </w:pPr>
      <w:r>
        <w:rPr>
          <w:rFonts w:hint="eastAsia"/>
          <w:color w:val="000000" w:themeColor="text1"/>
          <w:kern w:val="2"/>
          <w:sz w:val="21"/>
        </w:rPr>
        <w:t>7、根据《关于在政府采购活动中查询及使用信用记录有关问题的通知》（财库【2016】125号）的规定，对列入失信被执行人、重大税收违法失信主体、政府采购严重违法失信行为记录名单的供应商，拒绝参与本项目政府采购活动；</w:t>
      </w:r>
    </w:p>
    <w:p>
      <w:pPr>
        <w:pStyle w:val="14"/>
        <w:widowControl w:val="0"/>
        <w:snapToGrid w:val="0"/>
        <w:spacing w:beforeAutospacing="0" w:afterAutospacing="0" w:line="360" w:lineRule="auto"/>
        <w:ind w:firstLine="420" w:firstLineChars="200"/>
        <w:rPr>
          <w:color w:val="000000" w:themeColor="text1"/>
          <w:kern w:val="2"/>
          <w:sz w:val="21"/>
        </w:rPr>
      </w:pPr>
      <w:r>
        <w:rPr>
          <w:rFonts w:hint="eastAsia"/>
          <w:color w:val="000000" w:themeColor="text1"/>
          <w:kern w:val="2"/>
          <w:sz w:val="21"/>
        </w:rPr>
        <w:t>8、不接受联合体投标。</w:t>
      </w:r>
    </w:p>
    <w:p>
      <w:pPr>
        <w:widowControl/>
        <w:snapToGrid w:val="0"/>
        <w:spacing w:line="360" w:lineRule="auto"/>
        <w:jc w:val="left"/>
        <w:outlineLvl w:val="1"/>
        <w:rPr>
          <w:rFonts w:ascii="宋体" w:hAnsi="宋体" w:cs="宋体"/>
          <w:b/>
          <w:bCs/>
        </w:rPr>
      </w:pPr>
      <w:r>
        <w:rPr>
          <w:rFonts w:hint="eastAsia" w:ascii="宋体" w:hAnsi="宋体" w:cs="宋体"/>
          <w:b/>
          <w:bCs/>
        </w:rPr>
        <w:t>三、获取采购文件</w:t>
      </w:r>
      <w:bookmarkEnd w:id="8"/>
      <w:bookmarkEnd w:id="9"/>
      <w:bookmarkEnd w:id="10"/>
      <w:bookmarkEnd w:id="11"/>
      <w:bookmarkEnd w:id="12"/>
    </w:p>
    <w:p>
      <w:pPr>
        <w:widowControl/>
        <w:adjustRightInd w:val="0"/>
        <w:snapToGrid w:val="0"/>
        <w:spacing w:line="360" w:lineRule="auto"/>
        <w:ind w:firstLine="420" w:firstLineChars="200"/>
        <w:jc w:val="left"/>
        <w:rPr>
          <w:rFonts w:ascii="宋体" w:hAnsi="宋体" w:cs="宋体"/>
          <w:color w:val="000000" w:themeColor="text1"/>
          <w:szCs w:val="21"/>
          <w:shd w:val="clear" w:color="auto" w:fill="FFFFFF"/>
        </w:rPr>
      </w:pPr>
      <w:r>
        <w:rPr>
          <w:rFonts w:hint="eastAsia" w:ascii="宋体" w:hAnsi="宋体" w:cs="宋体"/>
          <w:szCs w:val="21"/>
          <w:shd w:val="clear" w:color="auto" w:fill="FFFFFF"/>
        </w:rPr>
        <w:t>1</w:t>
      </w:r>
      <w:r>
        <w:rPr>
          <w:rFonts w:hint="eastAsia" w:ascii="宋体" w:hAnsi="宋体" w:cs="宋体"/>
          <w:color w:val="000000" w:themeColor="text1"/>
          <w:szCs w:val="21"/>
          <w:shd w:val="clear" w:color="auto" w:fill="FFFFFF"/>
        </w:rPr>
        <w:t>报名时间：</w:t>
      </w:r>
      <w:r>
        <w:rPr>
          <w:rFonts w:hint="eastAsia" w:ascii="宋体" w:hAnsi="宋体" w:cs="宋体"/>
          <w:color w:val="FF0000"/>
          <w:szCs w:val="21"/>
          <w:shd w:val="clear" w:color="auto" w:fill="FFFFFF"/>
          <w:lang w:eastAsia="zh-CN"/>
        </w:rPr>
        <w:t>2024</w:t>
      </w:r>
      <w:r>
        <w:rPr>
          <w:rFonts w:hint="eastAsia" w:ascii="宋体" w:hAnsi="宋体" w:cs="宋体"/>
          <w:color w:val="FF0000"/>
          <w:szCs w:val="21"/>
          <w:shd w:val="clear" w:color="auto" w:fill="FFFFFF"/>
        </w:rPr>
        <w:t>年</w:t>
      </w:r>
      <w:r>
        <w:rPr>
          <w:rFonts w:hint="eastAsia" w:ascii="宋体" w:hAnsi="宋体" w:cs="宋体"/>
          <w:color w:val="FF0000"/>
          <w:szCs w:val="21"/>
          <w:shd w:val="clear" w:color="auto" w:fill="FFFFFF"/>
          <w:lang w:val="en-US" w:eastAsia="zh-CN"/>
        </w:rPr>
        <w:t>3</w:t>
      </w:r>
      <w:r>
        <w:rPr>
          <w:rFonts w:hint="eastAsia" w:ascii="宋体" w:hAnsi="宋体" w:cs="宋体"/>
          <w:color w:val="FF0000"/>
          <w:szCs w:val="21"/>
          <w:shd w:val="clear" w:color="auto" w:fill="FFFFFF"/>
        </w:rPr>
        <w:t>月</w:t>
      </w:r>
      <w:r>
        <w:rPr>
          <w:rFonts w:hint="eastAsia" w:ascii="宋体" w:hAnsi="宋体" w:cs="宋体"/>
          <w:color w:val="FF0000"/>
          <w:szCs w:val="21"/>
          <w:shd w:val="clear" w:color="auto" w:fill="FFFFFF"/>
          <w:lang w:val="en-US" w:eastAsia="zh-CN"/>
        </w:rPr>
        <w:t>27</w:t>
      </w:r>
      <w:r>
        <w:rPr>
          <w:rFonts w:hint="eastAsia" w:ascii="宋体" w:hAnsi="宋体" w:cs="宋体"/>
          <w:color w:val="FF0000"/>
          <w:szCs w:val="21"/>
          <w:shd w:val="clear" w:color="auto" w:fill="FFFFFF"/>
        </w:rPr>
        <w:t>日-</w:t>
      </w:r>
      <w:r>
        <w:rPr>
          <w:rFonts w:hint="eastAsia" w:ascii="宋体" w:hAnsi="宋体" w:cs="宋体"/>
          <w:color w:val="FF0000"/>
          <w:szCs w:val="21"/>
          <w:shd w:val="clear" w:color="auto" w:fill="FFFFFF"/>
          <w:lang w:eastAsia="zh-CN"/>
        </w:rPr>
        <w:t>2024</w:t>
      </w:r>
      <w:r>
        <w:rPr>
          <w:rFonts w:hint="eastAsia" w:ascii="宋体" w:hAnsi="宋体" w:cs="宋体"/>
          <w:color w:val="FF0000"/>
          <w:szCs w:val="21"/>
          <w:shd w:val="clear" w:color="auto" w:fill="FFFFFF"/>
        </w:rPr>
        <w:t>年</w:t>
      </w:r>
      <w:r>
        <w:rPr>
          <w:rFonts w:hint="eastAsia" w:ascii="宋体" w:hAnsi="宋体" w:cs="宋体"/>
          <w:color w:val="FF0000"/>
          <w:szCs w:val="21"/>
          <w:shd w:val="clear" w:color="auto" w:fill="FFFFFF"/>
          <w:lang w:val="en-US" w:eastAsia="zh-CN"/>
        </w:rPr>
        <w:t>3</w:t>
      </w:r>
      <w:r>
        <w:rPr>
          <w:rFonts w:hint="eastAsia" w:ascii="宋体" w:hAnsi="宋体" w:cs="宋体"/>
          <w:color w:val="FF0000"/>
          <w:szCs w:val="21"/>
          <w:shd w:val="clear" w:color="auto" w:fill="FFFFFF"/>
        </w:rPr>
        <w:t>月</w:t>
      </w:r>
      <w:r>
        <w:rPr>
          <w:rFonts w:hint="eastAsia" w:ascii="宋体" w:hAnsi="宋体" w:cs="宋体"/>
          <w:color w:val="FF0000"/>
          <w:szCs w:val="21"/>
          <w:shd w:val="clear" w:color="auto" w:fill="FFFFFF"/>
          <w:lang w:val="en-US" w:eastAsia="zh-CN"/>
        </w:rPr>
        <w:t>29</w:t>
      </w:r>
      <w:r>
        <w:rPr>
          <w:rFonts w:hint="eastAsia" w:ascii="宋体" w:hAnsi="宋体" w:cs="宋体"/>
          <w:color w:val="FF0000"/>
          <w:szCs w:val="21"/>
          <w:shd w:val="clear" w:color="auto" w:fill="FFFFFF"/>
        </w:rPr>
        <w:t>日，</w:t>
      </w:r>
      <w:r>
        <w:rPr>
          <w:rFonts w:hint="eastAsia" w:ascii="宋体" w:hAnsi="宋体" w:cs="宋体"/>
          <w:color w:val="000000" w:themeColor="text1"/>
          <w:szCs w:val="21"/>
          <w:shd w:val="clear" w:color="auto" w:fill="FFFFFF"/>
        </w:rPr>
        <w:t>上午8：30-11:30，下午14:30-17:30（北京时间，法定节假日除外），报名费用：200元。</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color w:val="000000" w:themeColor="text1"/>
          <w:kern w:val="0"/>
          <w:szCs w:val="21"/>
          <w:shd w:val="clear" w:color="auto" w:fill="FFFFFF"/>
        </w:rPr>
        <w:t>2.凡报名成功的供应商无故不来参与投标的，列入我院黑名</w:t>
      </w:r>
      <w:r>
        <w:rPr>
          <w:rFonts w:hint="eastAsia" w:ascii="宋体" w:hAnsi="宋体" w:cs="宋体"/>
          <w:kern w:val="0"/>
          <w:szCs w:val="21"/>
          <w:shd w:val="clear" w:color="auto" w:fill="FFFFFF"/>
        </w:rPr>
        <w:t xml:space="preserve">单，一年内不得参与我院任何采购活动。中标供应商缴纳相应服务费。 </w:t>
      </w:r>
    </w:p>
    <w:p>
      <w:pPr>
        <w:widowControl/>
        <w:wordWrap w:val="0"/>
        <w:snapToGrid w:val="0"/>
        <w:spacing w:line="360" w:lineRule="auto"/>
        <w:ind w:firstLine="420" w:firstLineChars="200"/>
        <w:jc w:val="left"/>
        <w:rPr>
          <w:rFonts w:ascii="宋体" w:hAnsi="宋体" w:cs="宋体"/>
          <w:kern w:val="0"/>
          <w:szCs w:val="21"/>
          <w:u w:val="single"/>
          <w:shd w:val="clear" w:color="auto" w:fill="FFFFFF"/>
        </w:rPr>
      </w:pPr>
      <w:r>
        <w:rPr>
          <w:rFonts w:hint="eastAsia" w:ascii="宋体" w:hAnsi="宋体" w:cs="宋体"/>
          <w:kern w:val="0"/>
          <w:szCs w:val="21"/>
          <w:shd w:val="clear" w:color="auto" w:fill="FFFFFF"/>
        </w:rPr>
        <w:t>3.采购文件获取方式：供应商须把填写完整的报名登记表及报名登记表要求提供的相关资料扫描件按序排版为PDF格式文件，发送至以下邮箱：</w:t>
      </w:r>
      <w:r>
        <w:fldChar w:fldCharType="begin"/>
      </w:r>
      <w:r>
        <w:instrText xml:space="preserve"> HYPERLINK "mailto:hnwxzb2@163.com并标明XX" </w:instrText>
      </w:r>
      <w:r>
        <w:fldChar w:fldCharType="separate"/>
      </w:r>
      <w:r>
        <w:rPr>
          <w:rFonts w:hint="eastAsia" w:ascii="宋体" w:hAnsi="宋体" w:cs="宋体"/>
          <w:kern w:val="0"/>
          <w:szCs w:val="21"/>
          <w:shd w:val="clear" w:color="auto" w:fill="FFFFFF"/>
        </w:rPr>
        <w:t>1150105437@qq.com并标明XX公司XX</w:t>
      </w:r>
      <w:r>
        <w:rPr>
          <w:rFonts w:hint="eastAsia" w:ascii="宋体" w:hAnsi="宋体" w:cs="宋体"/>
          <w:kern w:val="0"/>
          <w:szCs w:val="21"/>
          <w:shd w:val="clear" w:color="auto" w:fill="FFFFFF"/>
        </w:rPr>
        <w:fldChar w:fldCharType="end"/>
      </w:r>
      <w:r>
        <w:rPr>
          <w:rFonts w:hint="eastAsia" w:ascii="宋体" w:hAnsi="宋体" w:cs="宋体"/>
          <w:kern w:val="0"/>
          <w:szCs w:val="21"/>
          <w:shd w:val="clear" w:color="auto" w:fill="FFFFFF"/>
        </w:rPr>
        <w:t>项目报名资料；审核通过后按要求交纳报名费。</w:t>
      </w:r>
    </w:p>
    <w:p>
      <w:pPr>
        <w:widowControl/>
        <w:wordWrap w:val="0"/>
        <w:snapToGrid w:val="0"/>
        <w:spacing w:line="360" w:lineRule="auto"/>
        <w:ind w:left="420" w:leftChars="200"/>
        <w:jc w:val="left"/>
        <w:rPr>
          <w:rFonts w:ascii="宋体" w:hAnsi="宋体" w:cs="宋体"/>
          <w:kern w:val="0"/>
          <w:szCs w:val="21"/>
        </w:rPr>
      </w:pPr>
      <w:r>
        <w:rPr>
          <w:rFonts w:hint="eastAsia" w:ascii="宋体" w:hAnsi="宋体" w:cs="宋体"/>
          <w:kern w:val="0"/>
          <w:szCs w:val="21"/>
          <w:shd w:val="clear" w:color="auto" w:fill="FFFFFF"/>
        </w:rPr>
        <w:t>4.报名登记表：请从附件中下载。</w:t>
      </w:r>
    </w:p>
    <w:p>
      <w:pPr>
        <w:widowControl/>
        <w:snapToGrid w:val="0"/>
        <w:spacing w:line="360" w:lineRule="auto"/>
        <w:jc w:val="left"/>
        <w:outlineLvl w:val="1"/>
        <w:rPr>
          <w:rFonts w:ascii="宋体" w:hAnsi="宋体" w:cs="宋体"/>
          <w:b/>
          <w:bCs/>
          <w:szCs w:val="21"/>
        </w:rPr>
      </w:pPr>
      <w:bookmarkStart w:id="13" w:name="_Toc27480"/>
      <w:bookmarkStart w:id="14" w:name="_Toc10738"/>
      <w:bookmarkStart w:id="15" w:name="_Toc25869"/>
      <w:bookmarkStart w:id="16" w:name="_Toc15111"/>
      <w:bookmarkStart w:id="17" w:name="_Toc15135"/>
      <w:r>
        <w:rPr>
          <w:rFonts w:hint="eastAsia" w:ascii="宋体" w:hAnsi="宋体" w:cs="宋体"/>
          <w:b/>
          <w:bCs/>
          <w:szCs w:val="21"/>
          <w:shd w:val="clear" w:color="auto" w:fill="FFFFFF"/>
        </w:rPr>
        <w:t>四、投标截止时间及地点</w:t>
      </w:r>
      <w:bookmarkEnd w:id="13"/>
      <w:bookmarkEnd w:id="14"/>
      <w:bookmarkEnd w:id="15"/>
      <w:bookmarkEnd w:id="16"/>
      <w:bookmarkEnd w:id="17"/>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shd w:val="clear" w:color="auto" w:fill="FFFFFF"/>
        </w:rPr>
        <w:t>1.时间：</w:t>
      </w:r>
      <w:r>
        <w:rPr>
          <w:rFonts w:hint="eastAsia" w:ascii="宋体" w:hAnsi="宋体" w:cs="宋体"/>
          <w:szCs w:val="21"/>
        </w:rPr>
        <w:t>另行通知</w:t>
      </w:r>
      <w:r>
        <w:rPr>
          <w:rFonts w:hint="eastAsia" w:ascii="宋体" w:hAnsi="宋体" w:cs="宋体"/>
          <w:kern w:val="0"/>
          <w:szCs w:val="21"/>
          <w:shd w:val="clear" w:color="auto" w:fill="FFFFFF"/>
        </w:rPr>
        <w:t>。</w:t>
      </w:r>
    </w:p>
    <w:p>
      <w:pPr>
        <w:widowControl/>
        <w:snapToGrid w:val="0"/>
        <w:spacing w:line="360"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2.地点：</w:t>
      </w:r>
      <w:r>
        <w:rPr>
          <w:rFonts w:hint="eastAsia" w:ascii="宋体" w:hAnsi="宋体" w:cs="宋体"/>
          <w:szCs w:val="21"/>
        </w:rPr>
        <w:t>另行通知</w:t>
      </w:r>
      <w:r>
        <w:rPr>
          <w:rFonts w:hint="eastAsia" w:ascii="宋体" w:hAnsi="宋体" w:cs="宋体"/>
          <w:kern w:val="0"/>
          <w:szCs w:val="21"/>
          <w:shd w:val="clear" w:color="auto" w:fill="FFFFFF"/>
        </w:rPr>
        <w:t>。</w:t>
      </w:r>
    </w:p>
    <w:p>
      <w:pPr>
        <w:widowControl/>
        <w:snapToGrid w:val="0"/>
        <w:spacing w:line="360" w:lineRule="auto"/>
        <w:jc w:val="left"/>
        <w:outlineLvl w:val="1"/>
        <w:rPr>
          <w:rFonts w:ascii="宋体" w:hAnsi="宋体" w:cs="宋体"/>
          <w:b/>
          <w:bCs/>
          <w:szCs w:val="21"/>
        </w:rPr>
      </w:pPr>
      <w:r>
        <w:rPr>
          <w:rFonts w:hint="eastAsia" w:ascii="宋体" w:hAnsi="宋体" w:cs="宋体"/>
          <w:b/>
          <w:bCs/>
          <w:szCs w:val="21"/>
          <w:shd w:val="clear" w:color="auto" w:fill="FFFFFF"/>
        </w:rPr>
        <w:t>五、开标时间及地点</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shd w:val="clear" w:color="auto" w:fill="FFFFFF"/>
        </w:rPr>
        <w:t>1.时间：</w:t>
      </w:r>
      <w:r>
        <w:rPr>
          <w:rFonts w:hint="eastAsia" w:ascii="宋体" w:hAnsi="宋体" w:cs="宋体"/>
          <w:szCs w:val="21"/>
        </w:rPr>
        <w:t>另行通知</w:t>
      </w:r>
      <w:r>
        <w:rPr>
          <w:rFonts w:hint="eastAsia" w:ascii="宋体" w:hAnsi="宋体" w:cs="宋体"/>
          <w:kern w:val="0"/>
          <w:szCs w:val="21"/>
          <w:shd w:val="clear" w:color="auto" w:fill="FFFFFF"/>
        </w:rPr>
        <w:t>。</w:t>
      </w:r>
    </w:p>
    <w:p>
      <w:pPr>
        <w:widowControl/>
        <w:snapToGrid w:val="0"/>
        <w:spacing w:line="360"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2.地点：</w:t>
      </w:r>
      <w:r>
        <w:rPr>
          <w:rFonts w:hint="eastAsia" w:ascii="宋体" w:hAnsi="宋体" w:cs="宋体"/>
          <w:szCs w:val="21"/>
        </w:rPr>
        <w:t>另行通知</w:t>
      </w:r>
      <w:r>
        <w:rPr>
          <w:rFonts w:hint="eastAsia" w:ascii="宋体" w:hAnsi="宋体" w:cs="宋体"/>
          <w:kern w:val="0"/>
          <w:szCs w:val="21"/>
          <w:shd w:val="clear" w:color="auto" w:fill="FFFFFF"/>
        </w:rPr>
        <w:t>。</w:t>
      </w:r>
    </w:p>
    <w:p>
      <w:pPr>
        <w:widowControl/>
        <w:snapToGrid w:val="0"/>
        <w:spacing w:line="360" w:lineRule="auto"/>
        <w:jc w:val="left"/>
        <w:outlineLvl w:val="1"/>
        <w:rPr>
          <w:rFonts w:ascii="宋体" w:hAnsi="宋体" w:cs="宋体"/>
          <w:b/>
          <w:bCs/>
          <w:szCs w:val="21"/>
        </w:rPr>
      </w:pPr>
      <w:bookmarkStart w:id="18" w:name="_Toc20287"/>
      <w:bookmarkStart w:id="19" w:name="_Toc30918"/>
      <w:bookmarkStart w:id="20" w:name="_Toc6523"/>
      <w:bookmarkStart w:id="21" w:name="_Toc29784"/>
      <w:r>
        <w:rPr>
          <w:rFonts w:hint="eastAsia" w:ascii="宋体" w:hAnsi="宋体" w:cs="宋体"/>
          <w:b/>
          <w:bCs/>
          <w:szCs w:val="21"/>
          <w:shd w:val="clear" w:color="auto" w:fill="FFFFFF"/>
        </w:rPr>
        <w:t>六、发布公告的媒介及</w:t>
      </w:r>
      <w:r>
        <w:rPr>
          <w:rFonts w:hint="eastAsia" w:ascii="宋体" w:hAnsi="宋体" w:cs="宋体"/>
          <w:b/>
          <w:bCs/>
          <w:szCs w:val="21"/>
        </w:rPr>
        <w:t>采购</w:t>
      </w:r>
      <w:r>
        <w:rPr>
          <w:rFonts w:hint="eastAsia" w:ascii="宋体" w:hAnsi="宋体" w:cs="宋体"/>
          <w:b/>
          <w:bCs/>
          <w:szCs w:val="21"/>
          <w:shd w:val="clear" w:color="auto" w:fill="FFFFFF"/>
        </w:rPr>
        <w:t>公告期限</w:t>
      </w:r>
      <w:bookmarkEnd w:id="18"/>
      <w:bookmarkEnd w:id="19"/>
      <w:bookmarkEnd w:id="20"/>
      <w:bookmarkEnd w:id="21"/>
    </w:p>
    <w:p>
      <w:pPr>
        <w:widowControl/>
        <w:snapToGrid w:val="0"/>
        <w:spacing w:line="360"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本次</w:t>
      </w:r>
      <w:r>
        <w:rPr>
          <w:rFonts w:hint="eastAsia" w:ascii="宋体" w:hAnsi="宋体" w:cs="宋体"/>
          <w:szCs w:val="21"/>
        </w:rPr>
        <w:t>采购</w:t>
      </w:r>
      <w:r>
        <w:rPr>
          <w:rFonts w:hint="eastAsia" w:ascii="宋体" w:hAnsi="宋体" w:cs="宋体"/>
          <w:kern w:val="0"/>
          <w:szCs w:val="21"/>
          <w:shd w:val="clear" w:color="auto" w:fill="FFFFFF"/>
        </w:rPr>
        <w:t>公告在《驻马店市中心医院》院内网</w:t>
      </w:r>
      <w:r>
        <w:rPr>
          <w:rFonts w:hint="eastAsia" w:ascii="宋体" w:hAnsi="宋体" w:cs="宋体"/>
          <w:szCs w:val="21"/>
        </w:rPr>
        <w:t>上发布，采购公告期限为三个工作日</w:t>
      </w:r>
      <w:r>
        <w:rPr>
          <w:rFonts w:hint="eastAsia" w:ascii="宋体" w:hAnsi="宋体" w:cs="宋体"/>
          <w:kern w:val="0"/>
          <w:szCs w:val="21"/>
          <w:shd w:val="clear" w:color="auto" w:fill="FFFFFF"/>
        </w:rPr>
        <w:t>。</w:t>
      </w:r>
      <w:bookmarkStart w:id="22" w:name="_Toc35393795"/>
      <w:bookmarkStart w:id="23" w:name="_Toc35393626"/>
    </w:p>
    <w:bookmarkEnd w:id="22"/>
    <w:bookmarkEnd w:id="23"/>
    <w:p>
      <w:pPr>
        <w:widowControl/>
        <w:snapToGrid w:val="0"/>
        <w:spacing w:line="360" w:lineRule="auto"/>
        <w:jc w:val="left"/>
        <w:outlineLvl w:val="1"/>
        <w:rPr>
          <w:rFonts w:ascii="宋体" w:hAnsi="宋体" w:cs="宋体"/>
          <w:b/>
          <w:bCs/>
          <w:szCs w:val="21"/>
        </w:rPr>
      </w:pPr>
      <w:bookmarkStart w:id="24" w:name="_Toc24274"/>
      <w:bookmarkStart w:id="25" w:name="_Toc27370"/>
      <w:bookmarkStart w:id="26" w:name="_Toc31928"/>
      <w:bookmarkStart w:id="27" w:name="_Toc3604"/>
      <w:bookmarkStart w:id="28" w:name="_Toc16291"/>
      <w:r>
        <w:rPr>
          <w:rFonts w:hint="eastAsia" w:ascii="宋体" w:hAnsi="宋体" w:cs="宋体"/>
          <w:b/>
          <w:bCs/>
          <w:szCs w:val="21"/>
          <w:shd w:val="clear" w:color="auto" w:fill="FFFFFF"/>
        </w:rPr>
        <w:t>七、</w:t>
      </w:r>
      <w:bookmarkEnd w:id="24"/>
      <w:bookmarkEnd w:id="25"/>
      <w:bookmarkEnd w:id="26"/>
      <w:bookmarkEnd w:id="27"/>
      <w:bookmarkEnd w:id="28"/>
      <w:r>
        <w:rPr>
          <w:rFonts w:hint="eastAsia" w:ascii="宋体" w:hAnsi="宋体" w:cs="宋体"/>
          <w:b/>
          <w:bCs/>
          <w:szCs w:val="21"/>
          <w:shd w:val="clear" w:color="auto" w:fill="FFFFFF"/>
        </w:rPr>
        <w:t>凡对本次招标提出询问，请按照以下方式联系</w:t>
      </w:r>
    </w:p>
    <w:p>
      <w:pPr>
        <w:widowControl/>
        <w:snapToGrid w:val="0"/>
        <w:spacing w:line="360" w:lineRule="auto"/>
        <w:ind w:firstLine="420" w:firstLineChars="200"/>
        <w:jc w:val="left"/>
        <w:rPr>
          <w:rFonts w:hint="eastAsia" w:ascii="宋体" w:hAnsi="宋体" w:cs="宋体"/>
          <w:kern w:val="0"/>
          <w:szCs w:val="21"/>
          <w:shd w:val="clear" w:color="auto" w:fill="FFFFFF"/>
        </w:rPr>
      </w:pPr>
      <w:r>
        <w:rPr>
          <w:rFonts w:hint="eastAsia" w:ascii="宋体" w:hAnsi="宋体" w:cs="宋体"/>
          <w:kern w:val="0"/>
          <w:szCs w:val="21"/>
          <w:shd w:val="clear" w:color="auto" w:fill="FFFFFF"/>
        </w:rPr>
        <w:t xml:space="preserve">1.采购人：驻马店市中心医院 </w:t>
      </w:r>
    </w:p>
    <w:p>
      <w:pPr>
        <w:widowControl/>
        <w:snapToGrid w:val="0"/>
        <w:spacing w:line="360" w:lineRule="auto"/>
        <w:ind w:firstLine="420" w:firstLineChars="200"/>
        <w:jc w:val="left"/>
        <w:rPr>
          <w:rFonts w:hint="eastAsia" w:ascii="宋体" w:hAnsi="宋体" w:cs="宋体"/>
          <w:kern w:val="0"/>
          <w:szCs w:val="21"/>
          <w:shd w:val="clear" w:color="auto" w:fill="FFFFFF"/>
        </w:rPr>
      </w:pPr>
      <w:r>
        <w:rPr>
          <w:rFonts w:hint="eastAsia" w:ascii="宋体" w:hAnsi="宋体" w:cs="宋体"/>
          <w:kern w:val="0"/>
          <w:szCs w:val="21"/>
          <w:shd w:val="clear" w:color="auto" w:fill="FFFFFF"/>
        </w:rPr>
        <w:t xml:space="preserve">地址：驻马店市中华大道747号 </w:t>
      </w:r>
    </w:p>
    <w:p>
      <w:pPr>
        <w:widowControl/>
        <w:snapToGrid w:val="0"/>
        <w:spacing w:line="360" w:lineRule="auto"/>
        <w:ind w:firstLine="420" w:firstLineChars="200"/>
        <w:jc w:val="left"/>
        <w:rPr>
          <w:rFonts w:hint="eastAsia" w:ascii="宋体" w:hAnsi="宋体" w:cs="宋体"/>
          <w:kern w:val="0"/>
          <w:szCs w:val="21"/>
          <w:shd w:val="clear" w:color="auto" w:fill="FFFFFF"/>
        </w:rPr>
      </w:pPr>
      <w:r>
        <w:rPr>
          <w:rFonts w:hint="eastAsia" w:ascii="宋体" w:hAnsi="宋体" w:cs="宋体"/>
          <w:kern w:val="0"/>
          <w:szCs w:val="21"/>
          <w:shd w:val="clear" w:color="auto" w:fill="FFFFFF"/>
        </w:rPr>
        <w:t xml:space="preserve">联系人：陈先生 </w:t>
      </w:r>
    </w:p>
    <w:p>
      <w:pPr>
        <w:widowControl/>
        <w:snapToGrid w:val="0"/>
        <w:spacing w:line="360" w:lineRule="auto"/>
        <w:ind w:firstLine="420" w:firstLineChars="200"/>
        <w:jc w:val="left"/>
        <w:rPr>
          <w:rFonts w:hint="eastAsia" w:ascii="宋体" w:hAnsi="宋体" w:cs="宋体"/>
          <w:kern w:val="0"/>
          <w:szCs w:val="21"/>
          <w:shd w:val="clear" w:color="auto" w:fill="FFFFFF"/>
        </w:rPr>
      </w:pPr>
      <w:r>
        <w:rPr>
          <w:rFonts w:hint="eastAsia" w:ascii="宋体" w:hAnsi="宋体" w:cs="宋体"/>
          <w:kern w:val="0"/>
          <w:szCs w:val="21"/>
          <w:shd w:val="clear" w:color="auto" w:fill="FFFFFF"/>
        </w:rPr>
        <w:t xml:space="preserve">电话：0396-2726379 </w:t>
      </w:r>
    </w:p>
    <w:p>
      <w:pPr>
        <w:widowControl/>
        <w:snapToGrid w:val="0"/>
        <w:spacing w:line="360" w:lineRule="auto"/>
        <w:ind w:firstLine="420" w:firstLineChars="200"/>
        <w:jc w:val="left"/>
        <w:rPr>
          <w:rFonts w:hint="eastAsia" w:ascii="宋体" w:hAnsi="宋体" w:cs="宋体"/>
          <w:kern w:val="0"/>
          <w:szCs w:val="21"/>
          <w:shd w:val="clear" w:color="auto" w:fill="FFFFFF"/>
        </w:rPr>
      </w:pPr>
      <w:r>
        <w:rPr>
          <w:rFonts w:hint="eastAsia" w:ascii="宋体" w:hAnsi="宋体" w:cs="宋体"/>
          <w:kern w:val="0"/>
          <w:szCs w:val="21"/>
          <w:shd w:val="clear" w:color="auto" w:fill="FFFFFF"/>
        </w:rPr>
        <w:t xml:space="preserve">2.采购代理机构：河南招标采购服务有限公司 </w:t>
      </w:r>
    </w:p>
    <w:p>
      <w:pPr>
        <w:widowControl/>
        <w:snapToGrid w:val="0"/>
        <w:spacing w:line="360" w:lineRule="auto"/>
        <w:ind w:firstLine="420" w:firstLineChars="200"/>
        <w:jc w:val="left"/>
        <w:rPr>
          <w:rFonts w:hint="eastAsia" w:ascii="宋体" w:hAnsi="宋体" w:cs="宋体"/>
          <w:kern w:val="0"/>
          <w:szCs w:val="21"/>
          <w:shd w:val="clear" w:color="auto" w:fill="FFFFFF"/>
        </w:rPr>
      </w:pPr>
      <w:r>
        <w:rPr>
          <w:rFonts w:hint="eastAsia" w:ascii="宋体" w:hAnsi="宋体" w:cs="宋体"/>
          <w:kern w:val="0"/>
          <w:szCs w:val="21"/>
          <w:shd w:val="clear" w:color="auto" w:fill="FFFFFF"/>
        </w:rPr>
        <w:t>地址：郑州市金水区纬四路13号</w:t>
      </w:r>
    </w:p>
    <w:p>
      <w:pPr>
        <w:widowControl/>
        <w:snapToGrid w:val="0"/>
        <w:spacing w:line="360" w:lineRule="auto"/>
        <w:ind w:firstLine="420" w:firstLineChars="200"/>
        <w:jc w:val="left"/>
        <w:rPr>
          <w:rFonts w:hint="eastAsia" w:ascii="宋体" w:hAnsi="宋体" w:cs="宋体"/>
          <w:kern w:val="0"/>
          <w:szCs w:val="21"/>
          <w:shd w:val="clear" w:color="auto" w:fill="FFFFFF"/>
        </w:rPr>
      </w:pPr>
      <w:r>
        <w:rPr>
          <w:rFonts w:hint="eastAsia" w:ascii="宋体" w:hAnsi="宋体" w:cs="宋体"/>
          <w:kern w:val="0"/>
          <w:szCs w:val="21"/>
          <w:shd w:val="clear" w:color="auto" w:fill="FFFFFF"/>
        </w:rPr>
        <w:t>联系人：王女士</w:t>
      </w:r>
    </w:p>
    <w:p>
      <w:pPr>
        <w:widowControl/>
        <w:snapToGrid w:val="0"/>
        <w:spacing w:line="360" w:lineRule="auto"/>
        <w:ind w:firstLine="420" w:firstLineChars="200"/>
        <w:jc w:val="left"/>
        <w:rPr>
          <w:rFonts w:hint="eastAsia" w:ascii="宋体" w:hAnsi="宋体" w:cs="宋体"/>
          <w:kern w:val="0"/>
          <w:szCs w:val="21"/>
          <w:shd w:val="clear" w:color="auto" w:fill="FFFFFF"/>
        </w:rPr>
      </w:pPr>
      <w:r>
        <w:rPr>
          <w:rFonts w:hint="eastAsia" w:ascii="宋体" w:hAnsi="宋体" w:cs="宋体"/>
          <w:kern w:val="0"/>
          <w:szCs w:val="21"/>
          <w:shd w:val="clear" w:color="auto" w:fill="FFFFFF"/>
        </w:rPr>
        <w:t>联系方式：18639627370</w:t>
      </w:r>
    </w:p>
    <w:p>
      <w:pPr>
        <w:widowControl/>
        <w:snapToGrid w:val="0"/>
        <w:spacing w:line="360" w:lineRule="auto"/>
        <w:ind w:firstLine="420" w:firstLineChars="200"/>
        <w:jc w:val="left"/>
        <w:rPr>
          <w:rFonts w:hint="eastAsia" w:ascii="宋体" w:hAnsi="宋体" w:cs="宋体"/>
          <w:kern w:val="0"/>
          <w:szCs w:val="21"/>
          <w:shd w:val="clear" w:color="auto" w:fill="FFFFFF"/>
        </w:rPr>
      </w:pPr>
      <w:r>
        <w:rPr>
          <w:rFonts w:hint="eastAsia" w:ascii="宋体" w:hAnsi="宋体" w:cs="宋体"/>
          <w:kern w:val="0"/>
          <w:szCs w:val="21"/>
          <w:shd w:val="clear" w:color="auto" w:fill="FFFFFF"/>
        </w:rPr>
        <w:t xml:space="preserve">3.监督部门：驻马店市中心医院纪检监察室 </w:t>
      </w:r>
    </w:p>
    <w:p>
      <w:pPr>
        <w:widowControl/>
        <w:snapToGrid w:val="0"/>
        <w:spacing w:line="360" w:lineRule="auto"/>
        <w:ind w:firstLine="420" w:firstLineChars="200"/>
        <w:jc w:val="left"/>
        <w:rPr>
          <w:rFonts w:ascii="宋体" w:hAnsi="宋体" w:cs="宋体"/>
          <w:kern w:val="0"/>
          <w:szCs w:val="21"/>
          <w:shd w:val="clear" w:color="auto" w:fill="FFFFFF"/>
        </w:rPr>
      </w:pPr>
      <w:r>
        <w:rPr>
          <w:rFonts w:hint="eastAsia" w:ascii="宋体" w:hAnsi="宋体" w:cs="宋体"/>
          <w:kern w:val="0"/>
          <w:szCs w:val="21"/>
          <w:shd w:val="clear" w:color="auto" w:fill="FFFFFF"/>
        </w:rPr>
        <w:t>监督电话：0396-2726678</w:t>
      </w:r>
    </w:p>
    <w:p>
      <w:pPr>
        <w:pStyle w:val="30"/>
        <w:ind w:firstLine="210"/>
      </w:pPr>
    </w:p>
    <w:p>
      <w:pPr>
        <w:widowControl/>
        <w:snapToGrid w:val="0"/>
        <w:spacing w:line="360" w:lineRule="auto"/>
        <w:ind w:firstLine="420" w:firstLineChars="200"/>
        <w:jc w:val="right"/>
        <w:rPr>
          <w:rFonts w:ascii="宋体" w:hAnsi="宋体" w:cs="宋体"/>
          <w:color w:val="000000" w:themeColor="text1"/>
          <w:kern w:val="0"/>
          <w:szCs w:val="21"/>
          <w:shd w:val="clear" w:color="auto" w:fill="FFFFFF"/>
        </w:rPr>
      </w:pPr>
      <w:r>
        <w:rPr>
          <w:rFonts w:hint="eastAsia" w:ascii="宋体" w:hAnsi="宋体" w:cs="宋体"/>
          <w:kern w:val="0"/>
          <w:szCs w:val="21"/>
          <w:shd w:val="clear" w:color="auto" w:fill="FFFFFF"/>
        </w:rPr>
        <w:t>驻马</w:t>
      </w:r>
      <w:r>
        <w:rPr>
          <w:rFonts w:hint="eastAsia" w:ascii="宋体" w:hAnsi="宋体" w:cs="宋体"/>
          <w:color w:val="000000" w:themeColor="text1"/>
          <w:kern w:val="0"/>
          <w:szCs w:val="21"/>
          <w:shd w:val="clear" w:color="auto" w:fill="FFFFFF"/>
        </w:rPr>
        <w:t>店市中心医院采购科</w:t>
      </w:r>
    </w:p>
    <w:p>
      <w:pPr>
        <w:pStyle w:val="28"/>
        <w:widowControl/>
        <w:snapToGrid w:val="0"/>
        <w:spacing w:before="0" w:beforeAutospacing="0" w:after="0" w:afterAutospacing="0" w:line="360" w:lineRule="auto"/>
        <w:ind w:firstLine="420" w:firstLineChars="200"/>
        <w:jc w:val="right"/>
        <w:rPr>
          <w:rFonts w:ascii="宋体" w:hAnsi="宋体" w:cs="宋体"/>
          <w:color w:val="FF0000"/>
          <w:sz w:val="21"/>
          <w:szCs w:val="21"/>
          <w:shd w:val="clear" w:color="auto" w:fill="FFFFFF"/>
        </w:rPr>
      </w:pPr>
      <w:r>
        <w:rPr>
          <w:rFonts w:hint="eastAsia" w:ascii="宋体" w:hAnsi="宋体" w:cs="宋体"/>
          <w:color w:val="FF0000"/>
          <w:sz w:val="21"/>
          <w:szCs w:val="21"/>
          <w:shd w:val="clear" w:color="auto" w:fill="FFFFFF"/>
          <w:lang w:eastAsia="zh-CN"/>
        </w:rPr>
        <w:t>2024</w:t>
      </w:r>
      <w:r>
        <w:rPr>
          <w:rFonts w:hint="eastAsia" w:ascii="宋体" w:hAnsi="宋体" w:cs="宋体"/>
          <w:color w:val="FF0000"/>
          <w:sz w:val="21"/>
          <w:szCs w:val="21"/>
          <w:shd w:val="clear" w:color="auto" w:fill="FFFFFF"/>
        </w:rPr>
        <w:t>年</w:t>
      </w:r>
      <w:r>
        <w:rPr>
          <w:rFonts w:hint="eastAsia" w:ascii="宋体" w:hAnsi="宋体" w:cs="宋体"/>
          <w:color w:val="FF0000"/>
          <w:sz w:val="21"/>
          <w:szCs w:val="21"/>
          <w:shd w:val="clear" w:color="auto" w:fill="FFFFFF"/>
          <w:lang w:val="en-US" w:eastAsia="zh-CN"/>
        </w:rPr>
        <w:t>3</w:t>
      </w:r>
      <w:r>
        <w:rPr>
          <w:rFonts w:hint="eastAsia" w:ascii="宋体" w:hAnsi="宋体" w:cs="宋体"/>
          <w:color w:val="FF0000"/>
          <w:sz w:val="21"/>
          <w:szCs w:val="21"/>
          <w:shd w:val="clear" w:color="auto" w:fill="FFFFFF"/>
        </w:rPr>
        <w:t>月</w:t>
      </w:r>
      <w:r>
        <w:rPr>
          <w:rFonts w:hint="eastAsia" w:ascii="宋体" w:hAnsi="宋体" w:cs="宋体"/>
          <w:color w:val="FF0000"/>
          <w:sz w:val="21"/>
          <w:szCs w:val="21"/>
          <w:shd w:val="clear" w:color="auto" w:fill="FFFFFF"/>
          <w:lang w:val="en-US" w:eastAsia="zh-CN"/>
        </w:rPr>
        <w:t>26</w:t>
      </w:r>
      <w:bookmarkStart w:id="86" w:name="_GoBack"/>
      <w:bookmarkEnd w:id="86"/>
      <w:r>
        <w:rPr>
          <w:rFonts w:hint="eastAsia" w:ascii="宋体" w:hAnsi="宋体" w:cs="宋体"/>
          <w:color w:val="FF0000"/>
          <w:sz w:val="21"/>
          <w:szCs w:val="21"/>
          <w:shd w:val="clear" w:color="auto" w:fill="FFFFFF"/>
        </w:rPr>
        <w:t>日</w:t>
      </w:r>
    </w:p>
    <w:p>
      <w:pPr>
        <w:pStyle w:val="28"/>
        <w:widowControl/>
        <w:snapToGrid w:val="0"/>
        <w:spacing w:before="0" w:beforeAutospacing="0" w:after="0" w:afterAutospacing="0" w:line="360" w:lineRule="auto"/>
        <w:ind w:firstLine="420" w:firstLineChars="200"/>
        <w:rPr>
          <w:rFonts w:ascii="宋体" w:hAnsi="宋体" w:cs="宋体"/>
          <w:sz w:val="21"/>
          <w:szCs w:val="21"/>
          <w:shd w:val="clear" w:color="auto" w:fill="FFFFFF"/>
        </w:rPr>
      </w:pPr>
    </w:p>
    <w:p>
      <w:pPr>
        <w:rPr>
          <w:rFonts w:ascii="宋体" w:hAnsi="宋体"/>
          <w:b/>
          <w:sz w:val="32"/>
          <w:szCs w:val="32"/>
        </w:rPr>
      </w:pPr>
      <w:bookmarkStart w:id="29" w:name="_Toc25063"/>
      <w:bookmarkStart w:id="30" w:name="_Toc23793"/>
      <w:bookmarkStart w:id="31" w:name="_Toc29890"/>
      <w:r>
        <w:rPr>
          <w:rFonts w:hint="eastAsia" w:ascii="宋体" w:hAnsi="宋体"/>
          <w:b/>
          <w:sz w:val="32"/>
          <w:szCs w:val="32"/>
        </w:rPr>
        <w:br w:type="page"/>
      </w:r>
    </w:p>
    <w:p>
      <w:pPr>
        <w:widowControl/>
        <w:spacing w:line="360" w:lineRule="auto"/>
        <w:ind w:firstLine="643" w:firstLineChars="200"/>
        <w:jc w:val="center"/>
        <w:outlineLvl w:val="0"/>
        <w:rPr>
          <w:rFonts w:ascii="宋体" w:hAnsi="宋体"/>
          <w:b/>
          <w:sz w:val="32"/>
          <w:szCs w:val="32"/>
        </w:rPr>
      </w:pPr>
      <w:r>
        <w:rPr>
          <w:rFonts w:hint="eastAsia" w:ascii="宋体" w:hAnsi="宋体"/>
          <w:b/>
          <w:sz w:val="32"/>
          <w:szCs w:val="32"/>
        </w:rPr>
        <w:t>第二章  采购需求</w:t>
      </w:r>
      <w:bookmarkEnd w:id="29"/>
      <w:bookmarkStart w:id="32" w:name="_Toc9989"/>
      <w:bookmarkStart w:id="33" w:name="_Toc23610"/>
      <w:bookmarkStart w:id="34" w:name="_Toc31536"/>
    </w:p>
    <w:bookmarkEnd w:id="30"/>
    <w:bookmarkEnd w:id="31"/>
    <w:bookmarkEnd w:id="32"/>
    <w:bookmarkEnd w:id="33"/>
    <w:bookmarkEnd w:id="34"/>
    <w:p>
      <w:pPr>
        <w:snapToGrid w:val="0"/>
        <w:spacing w:line="360" w:lineRule="auto"/>
        <w:ind w:firstLine="420" w:firstLineChars="200"/>
        <w:rPr>
          <w:rFonts w:hint="eastAsia" w:ascii="宋体" w:hAnsi="宋体" w:eastAsia="宋体" w:cs="宋体"/>
          <w:iCs/>
          <w:szCs w:val="21"/>
          <w:lang w:eastAsia="zh-CN"/>
        </w:rPr>
      </w:pPr>
      <w:bookmarkStart w:id="35" w:name="_Toc14504"/>
      <w:r>
        <w:rPr>
          <w:rFonts w:hint="eastAsia" w:ascii="宋体" w:hAnsi="宋体" w:cs="宋体"/>
          <w:iCs/>
          <w:szCs w:val="21"/>
        </w:rPr>
        <w:t>一、项目名称、数量：</w:t>
      </w:r>
      <w:r>
        <w:rPr>
          <w:rFonts w:hint="eastAsia" w:ascii="宋体" w:hAnsi="宋体" w:cs="宋体"/>
          <w:iCs/>
          <w:szCs w:val="21"/>
          <w:lang w:eastAsia="zh-CN"/>
        </w:rPr>
        <w:t>驻马店市中心医院西门子3.0T磁共振技术保项目（二次）</w:t>
      </w:r>
    </w:p>
    <w:p>
      <w:pPr>
        <w:snapToGrid w:val="0"/>
        <w:spacing w:line="360" w:lineRule="auto"/>
        <w:ind w:firstLine="840" w:firstLineChars="400"/>
        <w:rPr>
          <w:rFonts w:ascii="宋体" w:hAnsi="宋体" w:cs="宋体"/>
          <w:iCs/>
          <w:szCs w:val="21"/>
        </w:rPr>
      </w:pPr>
      <w:r>
        <w:rPr>
          <w:rFonts w:hint="eastAsia" w:ascii="宋体" w:hAnsi="宋体" w:cs="宋体"/>
          <w:iCs/>
          <w:szCs w:val="21"/>
        </w:rPr>
        <w:t>项目概况：</w:t>
      </w:r>
      <w:r>
        <w:rPr>
          <w:rFonts w:hint="eastAsia" w:ascii="宋体" w:hAnsi="宋体" w:cs="宋体"/>
          <w:iCs/>
          <w:szCs w:val="21"/>
          <w:lang w:eastAsia="zh-CN"/>
        </w:rPr>
        <w:t>西门子3.0T磁共振技术保</w:t>
      </w:r>
      <w:r>
        <w:rPr>
          <w:rFonts w:hint="eastAsia" w:ascii="宋体" w:hAnsi="宋体" w:cs="宋体"/>
          <w:iCs/>
          <w:szCs w:val="21"/>
        </w:rPr>
        <w:t>一年。</w:t>
      </w:r>
    </w:p>
    <w:p>
      <w:pPr>
        <w:pStyle w:val="14"/>
        <w:numPr>
          <w:ilvl w:val="0"/>
          <w:numId w:val="1"/>
        </w:numPr>
        <w:snapToGrid w:val="0"/>
        <w:spacing w:beforeAutospacing="0" w:afterAutospacing="0" w:line="480" w:lineRule="auto"/>
        <w:ind w:firstLine="420" w:firstLineChars="200"/>
        <w:jc w:val="both"/>
        <w:rPr>
          <w:kern w:val="2"/>
          <w:sz w:val="21"/>
        </w:rPr>
      </w:pPr>
      <w:r>
        <w:rPr>
          <w:rFonts w:hint="eastAsia"/>
          <w:kern w:val="2"/>
          <w:sz w:val="21"/>
        </w:rPr>
        <w:t>采购标的清单：</w:t>
      </w:r>
    </w:p>
    <w:tbl>
      <w:tblPr>
        <w:tblStyle w:val="33"/>
        <w:tblW w:w="8925" w:type="dxa"/>
        <w:tblInd w:w="1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974"/>
        <w:gridCol w:w="2250"/>
        <w:gridCol w:w="984"/>
        <w:gridCol w:w="897"/>
        <w:gridCol w:w="6"/>
        <w:gridCol w:w="1071"/>
        <w:gridCol w:w="9"/>
        <w:gridCol w:w="1091"/>
        <w:gridCol w:w="1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426" w:type="dxa"/>
            <w:vAlign w:val="center"/>
          </w:tcPr>
          <w:p>
            <w:pPr>
              <w:pStyle w:val="14"/>
              <w:widowControl w:val="0"/>
              <w:spacing w:beforeAutospacing="0" w:line="400" w:lineRule="exact"/>
              <w:jc w:val="center"/>
              <w:rPr>
                <w:sz w:val="21"/>
                <w:szCs w:val="21"/>
              </w:rPr>
            </w:pPr>
            <w:r>
              <w:rPr>
                <w:rFonts w:hint="eastAsia"/>
                <w:sz w:val="21"/>
                <w:szCs w:val="21"/>
              </w:rPr>
              <w:t>包号</w:t>
            </w:r>
          </w:p>
        </w:tc>
        <w:tc>
          <w:tcPr>
            <w:tcW w:w="974" w:type="dxa"/>
            <w:vAlign w:val="center"/>
          </w:tcPr>
          <w:p>
            <w:pPr>
              <w:pStyle w:val="14"/>
              <w:widowControl w:val="0"/>
              <w:spacing w:beforeAutospacing="0" w:line="400" w:lineRule="exact"/>
              <w:jc w:val="center"/>
              <w:rPr>
                <w:sz w:val="21"/>
                <w:szCs w:val="21"/>
              </w:rPr>
            </w:pPr>
            <w:r>
              <w:rPr>
                <w:rFonts w:hint="eastAsia"/>
                <w:sz w:val="21"/>
                <w:szCs w:val="21"/>
              </w:rPr>
              <w:t>序号</w:t>
            </w:r>
          </w:p>
        </w:tc>
        <w:tc>
          <w:tcPr>
            <w:tcW w:w="2250" w:type="dxa"/>
            <w:vAlign w:val="center"/>
          </w:tcPr>
          <w:p>
            <w:pPr>
              <w:pStyle w:val="14"/>
              <w:widowControl w:val="0"/>
              <w:spacing w:beforeAutospacing="0" w:line="400" w:lineRule="exact"/>
              <w:jc w:val="center"/>
              <w:rPr>
                <w:sz w:val="21"/>
                <w:szCs w:val="21"/>
              </w:rPr>
            </w:pPr>
            <w:r>
              <w:rPr>
                <w:rFonts w:hint="eastAsia"/>
                <w:sz w:val="21"/>
                <w:szCs w:val="21"/>
              </w:rPr>
              <w:t>标的名称</w:t>
            </w:r>
          </w:p>
        </w:tc>
        <w:tc>
          <w:tcPr>
            <w:tcW w:w="984" w:type="dxa"/>
            <w:vAlign w:val="center"/>
          </w:tcPr>
          <w:p>
            <w:pPr>
              <w:pStyle w:val="14"/>
              <w:widowControl w:val="0"/>
              <w:spacing w:beforeAutospacing="0" w:line="400" w:lineRule="exact"/>
              <w:jc w:val="center"/>
              <w:rPr>
                <w:sz w:val="21"/>
                <w:szCs w:val="21"/>
              </w:rPr>
            </w:pPr>
            <w:r>
              <w:rPr>
                <w:rFonts w:hint="eastAsia"/>
                <w:sz w:val="21"/>
                <w:szCs w:val="21"/>
              </w:rPr>
              <w:t>单位</w:t>
            </w:r>
          </w:p>
        </w:tc>
        <w:tc>
          <w:tcPr>
            <w:tcW w:w="897" w:type="dxa"/>
            <w:vAlign w:val="center"/>
          </w:tcPr>
          <w:p>
            <w:pPr>
              <w:pStyle w:val="14"/>
              <w:widowControl w:val="0"/>
              <w:spacing w:beforeAutospacing="0" w:line="400" w:lineRule="exact"/>
              <w:jc w:val="center"/>
              <w:rPr>
                <w:sz w:val="21"/>
                <w:szCs w:val="21"/>
              </w:rPr>
            </w:pPr>
            <w:r>
              <w:rPr>
                <w:rFonts w:hint="eastAsia"/>
                <w:sz w:val="21"/>
                <w:szCs w:val="21"/>
              </w:rPr>
              <w:t>数量</w:t>
            </w:r>
          </w:p>
        </w:tc>
        <w:tc>
          <w:tcPr>
            <w:tcW w:w="1086" w:type="dxa"/>
            <w:gridSpan w:val="3"/>
            <w:vAlign w:val="center"/>
          </w:tcPr>
          <w:p>
            <w:pPr>
              <w:pStyle w:val="14"/>
              <w:widowControl w:val="0"/>
              <w:spacing w:beforeAutospacing="0" w:line="400" w:lineRule="exact"/>
              <w:jc w:val="center"/>
              <w:rPr>
                <w:sz w:val="21"/>
                <w:szCs w:val="21"/>
              </w:rPr>
            </w:pPr>
            <w:r>
              <w:rPr>
                <w:rFonts w:hint="eastAsia"/>
                <w:sz w:val="21"/>
                <w:szCs w:val="21"/>
              </w:rPr>
              <w:t>资金</w:t>
            </w:r>
          </w:p>
          <w:p>
            <w:pPr>
              <w:pStyle w:val="14"/>
              <w:widowControl w:val="0"/>
              <w:spacing w:beforeAutospacing="0" w:line="400" w:lineRule="exact"/>
              <w:jc w:val="center"/>
              <w:rPr>
                <w:sz w:val="21"/>
                <w:szCs w:val="21"/>
              </w:rPr>
            </w:pPr>
            <w:r>
              <w:rPr>
                <w:rFonts w:hint="eastAsia"/>
                <w:sz w:val="21"/>
                <w:szCs w:val="21"/>
              </w:rPr>
              <w:t>预算</w:t>
            </w:r>
          </w:p>
        </w:tc>
        <w:tc>
          <w:tcPr>
            <w:tcW w:w="1091" w:type="dxa"/>
            <w:vAlign w:val="center"/>
          </w:tcPr>
          <w:p>
            <w:pPr>
              <w:pStyle w:val="14"/>
              <w:widowControl w:val="0"/>
              <w:spacing w:beforeAutospacing="0" w:line="400" w:lineRule="exact"/>
              <w:jc w:val="center"/>
              <w:rPr>
                <w:sz w:val="21"/>
                <w:szCs w:val="21"/>
              </w:rPr>
            </w:pPr>
            <w:r>
              <w:rPr>
                <w:rFonts w:hint="eastAsia"/>
                <w:sz w:val="21"/>
                <w:szCs w:val="21"/>
              </w:rPr>
              <w:t>资金</w:t>
            </w:r>
          </w:p>
          <w:p>
            <w:pPr>
              <w:pStyle w:val="14"/>
              <w:widowControl w:val="0"/>
              <w:spacing w:beforeAutospacing="0" w:line="400" w:lineRule="exact"/>
              <w:jc w:val="center"/>
              <w:rPr>
                <w:sz w:val="21"/>
                <w:szCs w:val="21"/>
              </w:rPr>
            </w:pPr>
            <w:r>
              <w:rPr>
                <w:rFonts w:hint="eastAsia"/>
                <w:sz w:val="21"/>
                <w:szCs w:val="21"/>
              </w:rPr>
              <w:t>性质</w:t>
            </w:r>
          </w:p>
        </w:tc>
        <w:tc>
          <w:tcPr>
            <w:tcW w:w="1217" w:type="dxa"/>
            <w:vAlign w:val="center"/>
          </w:tcPr>
          <w:p>
            <w:pPr>
              <w:pStyle w:val="14"/>
              <w:widowControl w:val="0"/>
              <w:spacing w:beforeAutospacing="0" w:line="400" w:lineRule="exact"/>
              <w:jc w:val="center"/>
              <w:rPr>
                <w:sz w:val="21"/>
                <w:szCs w:val="21"/>
              </w:rPr>
            </w:pPr>
            <w:r>
              <w:rPr>
                <w:rFonts w:hint="eastAsia"/>
                <w:sz w:val="21"/>
                <w:szCs w:val="21"/>
              </w:rPr>
              <w:t>国产/</w:t>
            </w:r>
          </w:p>
          <w:p>
            <w:pPr>
              <w:pStyle w:val="14"/>
              <w:widowControl w:val="0"/>
              <w:spacing w:beforeAutospacing="0" w:line="400" w:lineRule="exact"/>
              <w:jc w:val="center"/>
              <w:rPr>
                <w:sz w:val="21"/>
                <w:szCs w:val="21"/>
              </w:rPr>
            </w:pPr>
            <w:r>
              <w:rPr>
                <w:rFonts w:hint="eastAsia"/>
                <w:sz w:val="21"/>
                <w:szCs w:val="21"/>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426" w:type="dxa"/>
            <w:vAlign w:val="center"/>
          </w:tcPr>
          <w:p>
            <w:pPr>
              <w:spacing w:line="560" w:lineRule="exact"/>
              <w:jc w:val="center"/>
              <w:rPr>
                <w:rFonts w:ascii="宋体" w:hAnsi="宋体" w:cs="宋体"/>
                <w:szCs w:val="21"/>
              </w:rPr>
            </w:pPr>
          </w:p>
        </w:tc>
        <w:tc>
          <w:tcPr>
            <w:tcW w:w="974" w:type="dxa"/>
            <w:vAlign w:val="center"/>
          </w:tcPr>
          <w:p>
            <w:pPr>
              <w:pStyle w:val="14"/>
              <w:widowControl w:val="0"/>
              <w:spacing w:beforeAutospacing="0" w:line="400" w:lineRule="exact"/>
              <w:jc w:val="center"/>
              <w:rPr>
                <w:sz w:val="21"/>
                <w:szCs w:val="21"/>
              </w:rPr>
            </w:pPr>
            <w:r>
              <w:rPr>
                <w:rFonts w:hint="eastAsia"/>
                <w:sz w:val="21"/>
                <w:szCs w:val="21"/>
              </w:rPr>
              <w:t>1</w:t>
            </w:r>
          </w:p>
        </w:tc>
        <w:tc>
          <w:tcPr>
            <w:tcW w:w="2250" w:type="dxa"/>
            <w:vAlign w:val="center"/>
          </w:tcPr>
          <w:p>
            <w:pPr>
              <w:pStyle w:val="14"/>
              <w:widowControl w:val="0"/>
              <w:spacing w:beforeAutospacing="0" w:line="400" w:lineRule="exact"/>
              <w:jc w:val="center"/>
              <w:rPr>
                <w:rFonts w:hint="eastAsia" w:eastAsia="宋体"/>
                <w:sz w:val="21"/>
                <w:szCs w:val="21"/>
                <w:lang w:eastAsia="zh-CN"/>
              </w:rPr>
            </w:pPr>
            <w:r>
              <w:rPr>
                <w:rFonts w:hint="eastAsia"/>
                <w:sz w:val="21"/>
                <w:szCs w:val="21"/>
                <w:lang w:eastAsia="zh-CN"/>
              </w:rPr>
              <w:t>西门子3.0T磁共振技术保</w:t>
            </w:r>
          </w:p>
        </w:tc>
        <w:tc>
          <w:tcPr>
            <w:tcW w:w="984" w:type="dxa"/>
            <w:vAlign w:val="center"/>
          </w:tcPr>
          <w:p>
            <w:pPr>
              <w:pStyle w:val="14"/>
              <w:widowControl w:val="0"/>
              <w:spacing w:beforeAutospacing="0" w:line="400" w:lineRule="exact"/>
              <w:jc w:val="center"/>
              <w:rPr>
                <w:sz w:val="21"/>
                <w:szCs w:val="21"/>
              </w:rPr>
            </w:pPr>
            <w:r>
              <w:rPr>
                <w:rFonts w:hint="eastAsia"/>
                <w:sz w:val="21"/>
                <w:szCs w:val="21"/>
              </w:rPr>
              <w:t>台/年</w:t>
            </w:r>
          </w:p>
        </w:tc>
        <w:tc>
          <w:tcPr>
            <w:tcW w:w="897" w:type="dxa"/>
            <w:vAlign w:val="center"/>
          </w:tcPr>
          <w:p>
            <w:pPr>
              <w:pStyle w:val="14"/>
              <w:widowControl w:val="0"/>
              <w:spacing w:beforeAutospacing="0" w:line="400" w:lineRule="exact"/>
              <w:jc w:val="center"/>
              <w:rPr>
                <w:rFonts w:hint="eastAsia" w:eastAsia="宋体"/>
                <w:sz w:val="21"/>
                <w:szCs w:val="21"/>
                <w:lang w:eastAsia="zh-CN"/>
              </w:rPr>
            </w:pPr>
            <w:r>
              <w:rPr>
                <w:rFonts w:hint="eastAsia"/>
                <w:sz w:val="21"/>
                <w:szCs w:val="21"/>
                <w:lang w:val="en-US" w:eastAsia="zh-CN"/>
              </w:rPr>
              <w:t>2</w:t>
            </w:r>
          </w:p>
        </w:tc>
        <w:tc>
          <w:tcPr>
            <w:tcW w:w="1086" w:type="dxa"/>
            <w:gridSpan w:val="3"/>
            <w:vAlign w:val="center"/>
          </w:tcPr>
          <w:p>
            <w:pPr>
              <w:pStyle w:val="14"/>
              <w:widowControl w:val="0"/>
              <w:spacing w:beforeAutospacing="0" w:line="400" w:lineRule="exact"/>
              <w:jc w:val="center"/>
              <w:rPr>
                <w:sz w:val="21"/>
                <w:szCs w:val="21"/>
              </w:rPr>
            </w:pPr>
            <w:r>
              <w:rPr>
                <w:rFonts w:hint="eastAsia"/>
                <w:sz w:val="21"/>
                <w:szCs w:val="21"/>
              </w:rPr>
              <w:t>47万元</w:t>
            </w:r>
          </w:p>
        </w:tc>
        <w:tc>
          <w:tcPr>
            <w:tcW w:w="1091" w:type="dxa"/>
            <w:vAlign w:val="center"/>
          </w:tcPr>
          <w:p>
            <w:pPr>
              <w:pStyle w:val="14"/>
              <w:widowControl w:val="0"/>
              <w:spacing w:beforeAutospacing="0" w:line="400" w:lineRule="exact"/>
              <w:jc w:val="center"/>
              <w:rPr>
                <w:sz w:val="21"/>
                <w:szCs w:val="21"/>
              </w:rPr>
            </w:pPr>
            <w:r>
              <w:rPr>
                <w:rFonts w:hint="eastAsia"/>
                <w:sz w:val="21"/>
                <w:szCs w:val="21"/>
              </w:rPr>
              <w:t>自筹</w:t>
            </w:r>
          </w:p>
        </w:tc>
        <w:tc>
          <w:tcPr>
            <w:tcW w:w="1217" w:type="dxa"/>
            <w:vAlign w:val="center"/>
          </w:tcPr>
          <w:p>
            <w:pPr>
              <w:spacing w:line="56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0" w:type="dxa"/>
            <w:gridSpan w:val="2"/>
            <w:vAlign w:val="center"/>
          </w:tcPr>
          <w:p>
            <w:pPr>
              <w:spacing w:line="560" w:lineRule="exact"/>
              <w:jc w:val="center"/>
              <w:rPr>
                <w:rFonts w:ascii="宋体" w:hAnsi="宋体" w:cs="宋体"/>
                <w:szCs w:val="21"/>
              </w:rPr>
            </w:pPr>
            <w:r>
              <w:rPr>
                <w:rFonts w:hint="eastAsia" w:ascii="宋体" w:hAnsi="宋体" w:cs="宋体"/>
                <w:szCs w:val="21"/>
              </w:rPr>
              <w:t>合计</w:t>
            </w:r>
          </w:p>
        </w:tc>
        <w:tc>
          <w:tcPr>
            <w:tcW w:w="2250" w:type="dxa"/>
            <w:vAlign w:val="center"/>
          </w:tcPr>
          <w:p>
            <w:pPr>
              <w:spacing w:line="560" w:lineRule="exact"/>
              <w:jc w:val="center"/>
              <w:rPr>
                <w:rFonts w:ascii="宋体" w:hAnsi="宋体" w:cs="宋体"/>
                <w:szCs w:val="21"/>
              </w:rPr>
            </w:pPr>
          </w:p>
        </w:tc>
        <w:tc>
          <w:tcPr>
            <w:tcW w:w="984" w:type="dxa"/>
            <w:vAlign w:val="center"/>
          </w:tcPr>
          <w:p>
            <w:pPr>
              <w:spacing w:line="560" w:lineRule="exact"/>
              <w:jc w:val="center"/>
              <w:rPr>
                <w:rFonts w:ascii="宋体" w:hAnsi="宋体" w:cs="宋体"/>
                <w:szCs w:val="21"/>
              </w:rPr>
            </w:pPr>
          </w:p>
        </w:tc>
        <w:tc>
          <w:tcPr>
            <w:tcW w:w="903" w:type="dxa"/>
            <w:gridSpan w:val="2"/>
            <w:vAlign w:val="center"/>
          </w:tcPr>
          <w:p>
            <w:pPr>
              <w:spacing w:line="560" w:lineRule="exact"/>
              <w:jc w:val="center"/>
              <w:rPr>
                <w:rFonts w:ascii="宋体" w:hAnsi="宋体" w:cs="宋体"/>
                <w:szCs w:val="21"/>
              </w:rPr>
            </w:pPr>
          </w:p>
        </w:tc>
        <w:tc>
          <w:tcPr>
            <w:tcW w:w="1071" w:type="dxa"/>
            <w:vAlign w:val="center"/>
          </w:tcPr>
          <w:p>
            <w:pPr>
              <w:spacing w:line="560" w:lineRule="exact"/>
              <w:jc w:val="center"/>
              <w:rPr>
                <w:rFonts w:ascii="宋体" w:hAnsi="宋体" w:cs="宋体"/>
                <w:szCs w:val="21"/>
              </w:rPr>
            </w:pPr>
          </w:p>
        </w:tc>
        <w:tc>
          <w:tcPr>
            <w:tcW w:w="1100" w:type="dxa"/>
            <w:gridSpan w:val="2"/>
            <w:vAlign w:val="center"/>
          </w:tcPr>
          <w:p>
            <w:pPr>
              <w:spacing w:line="560" w:lineRule="exact"/>
              <w:jc w:val="center"/>
              <w:rPr>
                <w:rFonts w:ascii="宋体" w:hAnsi="宋体" w:cs="宋体"/>
                <w:szCs w:val="21"/>
              </w:rPr>
            </w:pPr>
          </w:p>
        </w:tc>
        <w:tc>
          <w:tcPr>
            <w:tcW w:w="1217" w:type="dxa"/>
            <w:vAlign w:val="center"/>
          </w:tcPr>
          <w:p>
            <w:pPr>
              <w:spacing w:line="56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0" w:type="dxa"/>
            <w:gridSpan w:val="2"/>
            <w:vAlign w:val="center"/>
          </w:tcPr>
          <w:p>
            <w:pPr>
              <w:spacing w:line="560" w:lineRule="exact"/>
              <w:jc w:val="center"/>
              <w:rPr>
                <w:rFonts w:ascii="宋体" w:hAnsi="宋体" w:cs="宋体"/>
                <w:szCs w:val="21"/>
              </w:rPr>
            </w:pPr>
            <w:r>
              <w:rPr>
                <w:rFonts w:hint="eastAsia" w:ascii="宋体" w:hAnsi="宋体" w:cs="宋体"/>
                <w:szCs w:val="21"/>
              </w:rPr>
              <w:t>备注</w:t>
            </w:r>
          </w:p>
        </w:tc>
        <w:tc>
          <w:tcPr>
            <w:tcW w:w="7525" w:type="dxa"/>
            <w:gridSpan w:val="8"/>
            <w:vAlign w:val="center"/>
          </w:tcPr>
          <w:p>
            <w:pPr>
              <w:pStyle w:val="15"/>
              <w:rPr>
                <w:rFonts w:ascii="宋体" w:hAnsi="宋体" w:cs="宋体"/>
                <w:szCs w:val="21"/>
              </w:rPr>
            </w:pPr>
            <w:r>
              <w:rPr>
                <w:rFonts w:hint="eastAsia" w:ascii="宋体" w:hAnsi="宋体" w:cs="宋体"/>
                <w:szCs w:val="21"/>
              </w:rPr>
              <w:t>设备型号为MAGNETOM Skyra</w:t>
            </w:r>
          </w:p>
        </w:tc>
      </w:tr>
    </w:tbl>
    <w:p>
      <w:pPr>
        <w:pStyle w:val="15"/>
      </w:pPr>
    </w:p>
    <w:p>
      <w:pPr>
        <w:numPr>
          <w:ilvl w:val="0"/>
          <w:numId w:val="1"/>
        </w:numPr>
        <w:snapToGrid w:val="0"/>
        <w:spacing w:line="360" w:lineRule="auto"/>
        <w:ind w:firstLine="420" w:firstLineChars="200"/>
        <w:rPr>
          <w:rFonts w:ascii="宋体" w:hAnsi="宋体" w:cs="宋体"/>
        </w:rPr>
      </w:pPr>
      <w:r>
        <w:rPr>
          <w:rFonts w:hint="eastAsia" w:ascii="宋体" w:hAnsi="宋体" w:cs="宋体"/>
        </w:rPr>
        <w:t>技术商务要求</w:t>
      </w:r>
    </w:p>
    <w:p>
      <w:pPr>
        <w:snapToGrid w:val="0"/>
        <w:spacing w:line="360" w:lineRule="auto"/>
        <w:ind w:firstLine="420" w:firstLineChars="200"/>
        <w:rPr>
          <w:rFonts w:ascii="宋体" w:hAnsi="宋体" w:cs="宋体"/>
          <w:iCs/>
          <w:szCs w:val="21"/>
        </w:rPr>
      </w:pPr>
      <w:r>
        <w:rPr>
          <w:rFonts w:hint="eastAsia" w:ascii="宋体" w:hAnsi="宋体" w:cs="宋体"/>
          <w:iCs/>
          <w:szCs w:val="21"/>
        </w:rPr>
        <w:t>1.技术要求：</w:t>
      </w:r>
    </w:p>
    <w:p>
      <w:pPr>
        <w:snapToGrid w:val="0"/>
        <w:spacing w:line="360" w:lineRule="auto"/>
        <w:ind w:firstLine="420" w:firstLineChars="200"/>
        <w:rPr>
          <w:rFonts w:hint="eastAsia" w:ascii="宋体" w:hAnsi="宋体" w:cs="宋体"/>
          <w:lang w:val="zh-CN" w:eastAsia="zh-CN"/>
        </w:rPr>
      </w:pPr>
      <w:r>
        <w:rPr>
          <w:rFonts w:hint="eastAsia" w:ascii="宋体" w:hAnsi="宋体" w:cs="宋体"/>
          <w:lang w:val="zh-CN" w:eastAsia="zh-CN"/>
        </w:rPr>
        <w:t>1)</w:t>
      </w:r>
      <w:r>
        <w:rPr>
          <w:rFonts w:hint="eastAsia" w:ascii="宋体" w:hAnsi="宋体" w:cs="宋体"/>
          <w:lang w:val="zh-CN" w:eastAsia="zh-CN"/>
        </w:rPr>
        <w:tab/>
      </w:r>
      <w:r>
        <w:rPr>
          <w:rFonts w:hint="eastAsia" w:ascii="宋体" w:hAnsi="宋体" w:cs="宋体"/>
          <w:lang w:val="zh-CN" w:eastAsia="zh-CN"/>
        </w:rPr>
        <w:t>保修期内每年至少提供4次设备维护保养，包含但不限于如下项目：设备清洁、性能测试及校准、必要的电气环境检测等，使之保持原厂QC标准或国家质量监督部门的标准，并提供保养清单。</w:t>
      </w:r>
    </w:p>
    <w:p>
      <w:pPr>
        <w:snapToGrid w:val="0"/>
        <w:spacing w:line="360" w:lineRule="auto"/>
        <w:ind w:firstLine="420" w:firstLineChars="200"/>
        <w:rPr>
          <w:rFonts w:hint="eastAsia" w:ascii="宋体" w:hAnsi="宋体" w:cs="宋体"/>
          <w:lang w:val="zh-CN" w:eastAsia="zh-CN"/>
        </w:rPr>
      </w:pPr>
      <w:r>
        <w:rPr>
          <w:rFonts w:hint="eastAsia" w:ascii="宋体" w:hAnsi="宋体" w:cs="宋体"/>
          <w:lang w:val="zh-CN" w:eastAsia="zh-CN"/>
        </w:rPr>
        <w:t>2)</w:t>
      </w:r>
      <w:r>
        <w:rPr>
          <w:rFonts w:hint="eastAsia" w:ascii="宋体" w:hAnsi="宋体" w:cs="宋体"/>
          <w:lang w:val="zh-CN" w:eastAsia="zh-CN"/>
        </w:rPr>
        <w:tab/>
      </w:r>
      <w:r>
        <w:rPr>
          <w:rFonts w:hint="eastAsia" w:ascii="宋体" w:hAnsi="宋体" w:cs="宋体"/>
          <w:lang w:val="zh-CN" w:eastAsia="zh-CN"/>
        </w:rPr>
        <w:t>每次维修保养</w:t>
      </w:r>
      <w:r>
        <w:rPr>
          <w:rFonts w:hint="eastAsia" w:ascii="宋体" w:hAnsi="宋体" w:cs="宋体"/>
          <w:lang w:val="en-US" w:eastAsia="zh-CN"/>
        </w:rPr>
        <w:t>更换配件</w:t>
      </w:r>
      <w:r>
        <w:rPr>
          <w:rFonts w:hint="eastAsia" w:ascii="宋体" w:hAnsi="宋体" w:cs="宋体"/>
          <w:lang w:val="zh-CN" w:eastAsia="zh-CN"/>
        </w:rPr>
        <w:t>时需通知科室及医学装备部，且保修期最后一个月需三方人员（投标人、科室、医学装备部）在场对设备进行全面保养，在此过程中发现的问题，不论大小，一律彻底修复。每次都要做好维修、保养记录，并留存影像资料，设备的性能指标需满足临床诊断治疗要求和设备使用的安全性要求，并由三方共同签字确认。</w:t>
      </w:r>
    </w:p>
    <w:p>
      <w:pPr>
        <w:snapToGrid w:val="0"/>
        <w:spacing w:line="360" w:lineRule="auto"/>
        <w:ind w:firstLine="420" w:firstLineChars="200"/>
        <w:rPr>
          <w:rFonts w:hint="eastAsia" w:ascii="宋体" w:hAnsi="宋体" w:cs="宋体"/>
          <w:lang w:val="zh-CN" w:eastAsia="zh-CN"/>
        </w:rPr>
      </w:pPr>
      <w:r>
        <w:rPr>
          <w:rFonts w:hint="eastAsia" w:ascii="宋体" w:hAnsi="宋体" w:cs="宋体"/>
          <w:lang w:val="zh-CN" w:eastAsia="zh-CN"/>
        </w:rPr>
        <w:t>3)为本医院配置具备维修资质的固定工程师不少于2人，本设备维修经验不少于2年，需提供证明材料（培训证书）和承诺函。</w:t>
      </w:r>
    </w:p>
    <w:p>
      <w:pPr>
        <w:snapToGrid w:val="0"/>
        <w:spacing w:line="360" w:lineRule="auto"/>
        <w:ind w:firstLine="420" w:firstLineChars="200"/>
        <w:rPr>
          <w:rFonts w:hint="default" w:ascii="宋体" w:hAnsi="宋体" w:cs="宋体"/>
          <w:lang w:val="en-US" w:eastAsia="zh-CN"/>
        </w:rPr>
      </w:pPr>
      <w:r>
        <w:rPr>
          <w:rFonts w:hint="eastAsia" w:ascii="宋体" w:hAnsi="宋体" w:cs="宋体"/>
          <w:lang w:val="en-US" w:eastAsia="zh-CN"/>
        </w:rPr>
        <w:t>4)其中中心院区磁共振需包含两个常规配件（不论价值大小，不含磁体、液氦）的免费更换。</w:t>
      </w:r>
    </w:p>
    <w:p>
      <w:pPr>
        <w:snapToGrid w:val="0"/>
        <w:spacing w:line="360" w:lineRule="auto"/>
        <w:ind w:firstLine="420" w:firstLineChars="200"/>
        <w:rPr>
          <w:rFonts w:hint="eastAsia" w:ascii="宋体" w:hAnsi="宋体" w:cs="宋体"/>
          <w:lang w:val="zh-CN" w:eastAsia="zh-CN"/>
        </w:rPr>
      </w:pPr>
      <w:r>
        <w:rPr>
          <w:rFonts w:hint="eastAsia" w:ascii="宋体" w:hAnsi="宋体" w:cs="宋体"/>
          <w:lang w:val="en-US" w:eastAsia="zh-CN"/>
        </w:rPr>
        <w:t>5</w:t>
      </w:r>
      <w:r>
        <w:rPr>
          <w:rFonts w:hint="eastAsia" w:ascii="宋体" w:hAnsi="宋体" w:cs="宋体"/>
          <w:lang w:val="zh-CN" w:eastAsia="zh-CN"/>
        </w:rPr>
        <w:t>)</w:t>
      </w:r>
      <w:r>
        <w:rPr>
          <w:rFonts w:hint="eastAsia" w:ascii="宋体" w:hAnsi="宋体" w:cs="宋体"/>
          <w:lang w:val="zh-CN" w:eastAsia="zh-CN"/>
        </w:rPr>
        <w:tab/>
      </w:r>
      <w:r>
        <w:rPr>
          <w:rFonts w:hint="eastAsia" w:ascii="宋体" w:hAnsi="宋体" w:cs="宋体"/>
          <w:lang w:val="zh-CN" w:eastAsia="zh-CN"/>
        </w:rPr>
        <w:t>所换备件必须是全新合格的产品，并满足设备运行要求, 进口配件需提供商检及海关报关单等材料。因所换备件造成的设备故障及医院损失，由投标人全权负责。</w:t>
      </w:r>
    </w:p>
    <w:p>
      <w:pPr>
        <w:snapToGrid w:val="0"/>
        <w:spacing w:line="360" w:lineRule="auto"/>
        <w:ind w:firstLine="420" w:firstLineChars="200"/>
        <w:rPr>
          <w:rFonts w:hint="eastAsia" w:ascii="宋体" w:hAnsi="宋体" w:cs="宋体"/>
          <w:lang w:val="zh-CN" w:eastAsia="zh-CN"/>
        </w:rPr>
      </w:pPr>
      <w:r>
        <w:rPr>
          <w:rFonts w:hint="eastAsia" w:ascii="宋体" w:hAnsi="宋体" w:cs="宋体"/>
          <w:lang w:val="en-US" w:eastAsia="zh-CN"/>
        </w:rPr>
        <w:t>6</w:t>
      </w:r>
      <w:r>
        <w:rPr>
          <w:rFonts w:hint="eastAsia" w:ascii="宋体" w:hAnsi="宋体" w:cs="宋体"/>
          <w:lang w:val="zh-CN" w:eastAsia="zh-CN"/>
        </w:rPr>
        <w:t>)</w:t>
      </w:r>
      <w:r>
        <w:rPr>
          <w:rFonts w:hint="eastAsia" w:ascii="宋体" w:hAnsi="宋体" w:cs="宋体"/>
          <w:lang w:val="zh-CN" w:eastAsia="zh-CN"/>
        </w:rPr>
        <w:tab/>
      </w:r>
      <w:r>
        <w:rPr>
          <w:rFonts w:hint="eastAsia" w:ascii="宋体" w:hAnsi="宋体" w:cs="宋体"/>
          <w:lang w:val="zh-CN" w:eastAsia="zh-CN"/>
        </w:rPr>
        <w:t>软硬件及工作站免费安全升级，并开放维修密码等。</w:t>
      </w:r>
    </w:p>
    <w:p>
      <w:pPr>
        <w:snapToGrid w:val="0"/>
        <w:spacing w:line="360" w:lineRule="auto"/>
        <w:ind w:firstLine="420" w:firstLineChars="200"/>
        <w:rPr>
          <w:rFonts w:hint="eastAsia" w:ascii="宋体" w:hAnsi="宋体" w:cs="宋体"/>
          <w:lang w:val="zh-CN" w:eastAsia="zh-CN"/>
        </w:rPr>
      </w:pPr>
      <w:r>
        <w:rPr>
          <w:rFonts w:hint="eastAsia" w:ascii="宋体" w:hAnsi="宋体" w:cs="宋体"/>
          <w:lang w:val="en-US" w:eastAsia="zh-CN"/>
        </w:rPr>
        <w:t>7</w:t>
      </w:r>
      <w:r>
        <w:rPr>
          <w:rFonts w:hint="eastAsia" w:ascii="宋体" w:hAnsi="宋体" w:cs="宋体"/>
          <w:lang w:val="zh-CN" w:eastAsia="zh-CN"/>
        </w:rPr>
        <w:t>)</w:t>
      </w:r>
      <w:r>
        <w:rPr>
          <w:rFonts w:hint="eastAsia" w:ascii="宋体" w:hAnsi="宋体" w:cs="宋体"/>
          <w:lang w:val="zh-CN" w:eastAsia="zh-CN"/>
        </w:rPr>
        <w:tab/>
      </w:r>
      <w:r>
        <w:rPr>
          <w:rFonts w:hint="eastAsia" w:ascii="宋体" w:hAnsi="宋体" w:cs="宋体"/>
          <w:lang w:val="zh-CN" w:eastAsia="zh-CN"/>
        </w:rPr>
        <w:t>提供24小时远程技术支持及临床应用支持，签署由招标人提供的信息系统数据安全保密承诺书。</w:t>
      </w:r>
    </w:p>
    <w:p>
      <w:pPr>
        <w:snapToGrid w:val="0"/>
        <w:spacing w:line="360" w:lineRule="auto"/>
        <w:ind w:firstLine="420" w:firstLineChars="200"/>
        <w:rPr>
          <w:rFonts w:hint="eastAsia" w:ascii="宋体" w:hAnsi="宋体" w:cs="宋体"/>
          <w:lang w:val="zh-CN" w:eastAsia="zh-CN"/>
        </w:rPr>
      </w:pPr>
      <w:r>
        <w:rPr>
          <w:rFonts w:hint="eastAsia" w:ascii="宋体" w:hAnsi="宋体" w:cs="宋体"/>
          <w:lang w:val="en-US" w:eastAsia="zh-CN"/>
        </w:rPr>
        <w:t>8</w:t>
      </w:r>
      <w:r>
        <w:rPr>
          <w:rFonts w:hint="eastAsia" w:ascii="宋体" w:hAnsi="宋体" w:cs="宋体"/>
          <w:lang w:val="zh-CN" w:eastAsia="zh-CN"/>
        </w:rPr>
        <w:t>）</w:t>
      </w:r>
      <w:r>
        <w:rPr>
          <w:rFonts w:hint="eastAsia" w:ascii="宋体" w:hAnsi="宋体" w:cs="宋体"/>
          <w:lang w:val="en-US" w:eastAsia="zh-CN"/>
        </w:rPr>
        <w:t>更换维修备件需要院内工程师及科室主任在场拍照，更换维修备件超过三万元需要先招标后更换，特殊情况除外</w:t>
      </w:r>
    </w:p>
    <w:p>
      <w:pPr>
        <w:snapToGrid w:val="0"/>
        <w:spacing w:line="360" w:lineRule="auto"/>
        <w:ind w:firstLine="420" w:firstLineChars="200"/>
        <w:rPr>
          <w:rFonts w:hint="eastAsia" w:ascii="宋体" w:hAnsi="宋体" w:cs="宋体"/>
          <w:lang w:val="zh-CN" w:eastAsia="zh-CN"/>
        </w:rPr>
      </w:pPr>
      <w:r>
        <w:rPr>
          <w:rFonts w:hint="eastAsia" w:ascii="宋体" w:hAnsi="宋体" w:cs="宋体"/>
          <w:lang w:val="en-US" w:eastAsia="zh-CN"/>
        </w:rPr>
        <w:t>9</w:t>
      </w:r>
      <w:r>
        <w:rPr>
          <w:rFonts w:hint="eastAsia" w:ascii="宋体" w:hAnsi="宋体" w:cs="宋体"/>
          <w:lang w:val="zh-CN" w:eastAsia="zh-CN"/>
        </w:rPr>
        <w:t>）如需更换备件，国内备件仓库有货的备件在2个工作日内送达医院，进口配件5个工作日送达；非标件和不可抗力除外。</w:t>
      </w:r>
    </w:p>
    <w:p>
      <w:pPr>
        <w:snapToGrid w:val="0"/>
        <w:spacing w:line="360" w:lineRule="auto"/>
        <w:ind w:firstLine="420" w:firstLineChars="200"/>
        <w:rPr>
          <w:rFonts w:hint="eastAsia" w:ascii="宋体" w:hAnsi="宋体" w:cs="宋体"/>
          <w:lang w:val="zh-CN" w:eastAsia="zh-CN"/>
        </w:rPr>
      </w:pPr>
      <w:r>
        <w:rPr>
          <w:rFonts w:hint="eastAsia" w:ascii="宋体" w:hAnsi="宋体" w:cs="宋体"/>
          <w:lang w:val="en-US" w:eastAsia="zh-CN"/>
        </w:rPr>
        <w:t>10</w:t>
      </w:r>
      <w:r>
        <w:rPr>
          <w:rFonts w:hint="eastAsia" w:ascii="宋体" w:hAnsi="宋体" w:cs="宋体"/>
          <w:lang w:val="zh-CN" w:eastAsia="zh-CN"/>
        </w:rPr>
        <w:t>）定期进行安全检查及质量保障，保证24h*365天维修热线连接；提供全国400热线服务电话。</w:t>
      </w:r>
    </w:p>
    <w:p>
      <w:pPr>
        <w:snapToGrid w:val="0"/>
        <w:spacing w:line="360" w:lineRule="auto"/>
        <w:ind w:firstLine="420" w:firstLineChars="200"/>
        <w:rPr>
          <w:rFonts w:hint="eastAsia" w:ascii="宋体" w:hAnsi="宋体" w:cs="宋体"/>
          <w:lang w:val="zh-CN" w:eastAsia="zh-CN"/>
        </w:rPr>
      </w:pPr>
      <w:r>
        <w:rPr>
          <w:rFonts w:hint="eastAsia" w:ascii="宋体" w:hAnsi="宋体" w:cs="宋体"/>
          <w:lang w:val="zh-CN" w:eastAsia="zh-CN"/>
        </w:rPr>
        <w:t>1</w:t>
      </w:r>
      <w:r>
        <w:rPr>
          <w:rFonts w:hint="eastAsia" w:ascii="宋体" w:hAnsi="宋体" w:cs="宋体"/>
          <w:lang w:val="en-US" w:eastAsia="zh-CN"/>
        </w:rPr>
        <w:t>1</w:t>
      </w:r>
      <w:r>
        <w:rPr>
          <w:rFonts w:hint="eastAsia" w:ascii="宋体" w:hAnsi="宋体" w:cs="宋体"/>
          <w:lang w:val="zh-CN" w:eastAsia="zh-CN"/>
        </w:rPr>
        <w:t>）紧急人工和工程师现场紧急维修服务。</w:t>
      </w:r>
    </w:p>
    <w:p>
      <w:pPr>
        <w:snapToGrid w:val="0"/>
        <w:spacing w:line="360" w:lineRule="auto"/>
        <w:ind w:firstLine="420" w:firstLineChars="200"/>
        <w:rPr>
          <w:rFonts w:hint="eastAsia" w:ascii="宋体" w:hAnsi="宋体" w:cs="宋体"/>
          <w:lang w:val="zh-CN" w:eastAsia="zh-CN"/>
        </w:rPr>
      </w:pPr>
      <w:r>
        <w:rPr>
          <w:rFonts w:hint="eastAsia" w:ascii="宋体" w:hAnsi="宋体" w:cs="宋体"/>
          <w:lang w:val="zh-CN" w:eastAsia="zh-CN"/>
        </w:rPr>
        <w:t>1</w:t>
      </w:r>
      <w:r>
        <w:rPr>
          <w:rFonts w:hint="eastAsia" w:ascii="宋体" w:hAnsi="宋体" w:cs="宋体"/>
          <w:lang w:val="en-US" w:eastAsia="zh-CN"/>
        </w:rPr>
        <w:t>2</w:t>
      </w:r>
      <w:r>
        <w:rPr>
          <w:rFonts w:hint="eastAsia" w:ascii="宋体" w:hAnsi="宋体" w:cs="宋体"/>
          <w:lang w:val="zh-CN" w:eastAsia="zh-CN"/>
        </w:rPr>
        <w:t>）提供ISO9001和13485质量认证证书。</w:t>
      </w:r>
    </w:p>
    <w:p>
      <w:pPr>
        <w:snapToGrid w:val="0"/>
        <w:spacing w:line="360" w:lineRule="auto"/>
        <w:ind w:firstLine="420" w:firstLineChars="200"/>
        <w:rPr>
          <w:rFonts w:hint="eastAsia" w:ascii="宋体" w:hAnsi="宋体" w:cs="宋体"/>
          <w:lang w:val="zh-CN" w:eastAsia="zh-CN"/>
        </w:rPr>
      </w:pPr>
      <w:r>
        <w:rPr>
          <w:rFonts w:hint="eastAsia" w:ascii="宋体" w:hAnsi="宋体" w:cs="宋体"/>
          <w:lang w:val="zh-CN" w:eastAsia="zh-CN"/>
        </w:rPr>
        <w:t>1</w:t>
      </w:r>
      <w:r>
        <w:rPr>
          <w:rFonts w:hint="eastAsia" w:ascii="宋体" w:hAnsi="宋体" w:cs="宋体"/>
          <w:lang w:val="en-US" w:eastAsia="zh-CN"/>
        </w:rPr>
        <w:t>3</w:t>
      </w:r>
      <w:r>
        <w:rPr>
          <w:rFonts w:hint="eastAsia" w:ascii="宋体" w:hAnsi="宋体" w:cs="宋体"/>
          <w:lang w:val="zh-CN" w:eastAsia="zh-CN"/>
        </w:rPr>
        <w:t>）工程师需配备有专用工具，工程师的工具符合国家检测和校准的规定（提供相关校准证明）。</w:t>
      </w:r>
    </w:p>
    <w:p>
      <w:pPr>
        <w:snapToGrid w:val="0"/>
        <w:spacing w:line="360" w:lineRule="auto"/>
        <w:ind w:firstLine="420" w:firstLineChars="200"/>
        <w:rPr>
          <w:rFonts w:hint="eastAsia" w:ascii="宋体" w:hAnsi="宋体" w:cs="宋体"/>
          <w:lang w:val="zh-CN" w:eastAsia="zh-CN"/>
        </w:rPr>
      </w:pPr>
      <w:r>
        <w:rPr>
          <w:rFonts w:hint="eastAsia" w:ascii="宋体" w:hAnsi="宋体" w:cs="宋体"/>
          <w:lang w:val="zh-CN" w:eastAsia="zh-CN"/>
        </w:rPr>
        <w:t>1</w:t>
      </w:r>
      <w:r>
        <w:rPr>
          <w:rFonts w:hint="eastAsia" w:ascii="宋体" w:hAnsi="宋体" w:cs="宋体"/>
          <w:lang w:val="en-US" w:eastAsia="zh-CN"/>
        </w:rPr>
        <w:t>4</w:t>
      </w:r>
      <w:r>
        <w:rPr>
          <w:rFonts w:hint="eastAsia" w:ascii="宋体" w:hAnsi="宋体" w:cs="宋体"/>
          <w:lang w:val="zh-CN" w:eastAsia="zh-CN"/>
        </w:rPr>
        <w:t>）保修期最后一个月内更换的配件，中标公司应保证自更换之日起三个月内正常使用，如三个月内出现故障，由中标公司承担维修费用。</w:t>
      </w:r>
    </w:p>
    <w:p>
      <w:pPr>
        <w:snapToGrid w:val="0"/>
        <w:spacing w:line="360" w:lineRule="auto"/>
        <w:ind w:firstLine="420" w:firstLineChars="200"/>
        <w:rPr>
          <w:rFonts w:hint="eastAsia" w:ascii="宋体" w:hAnsi="宋体" w:cs="宋体"/>
          <w:lang w:val="zh-CN" w:eastAsia="zh-CN"/>
        </w:rPr>
      </w:pPr>
      <w:r>
        <w:rPr>
          <w:rFonts w:hint="eastAsia" w:ascii="宋体" w:hAnsi="宋体" w:cs="宋体"/>
          <w:lang w:val="en-US" w:eastAsia="zh-CN"/>
        </w:rPr>
        <w:t>15</w:t>
      </w:r>
      <w:r>
        <w:rPr>
          <w:rFonts w:hint="eastAsia" w:ascii="宋体" w:hAnsi="宋体" w:cs="宋体"/>
          <w:lang w:val="zh-CN" w:eastAsia="zh-CN"/>
        </w:rPr>
        <w:t>）须有具备应用培训工程师且提供原厂认证的培训证书。</w:t>
      </w:r>
    </w:p>
    <w:p>
      <w:pPr>
        <w:snapToGrid w:val="0"/>
        <w:spacing w:line="360" w:lineRule="auto"/>
        <w:ind w:firstLine="420" w:firstLineChars="200"/>
        <w:rPr>
          <w:rFonts w:hint="eastAsia" w:ascii="宋体" w:hAnsi="宋体" w:cs="宋体"/>
          <w:lang w:val="zh-CN" w:eastAsia="zh-CN"/>
        </w:rPr>
      </w:pPr>
      <w:r>
        <w:rPr>
          <w:rFonts w:hint="eastAsia" w:ascii="宋体" w:hAnsi="宋体" w:cs="宋体"/>
          <w:lang w:val="zh-CN" w:eastAsia="zh-CN"/>
        </w:rPr>
        <w:t>1</w:t>
      </w:r>
      <w:r>
        <w:rPr>
          <w:rFonts w:hint="eastAsia" w:ascii="宋体" w:hAnsi="宋体" w:cs="宋体"/>
          <w:lang w:val="en-US" w:eastAsia="zh-CN"/>
        </w:rPr>
        <w:t>6</w:t>
      </w:r>
      <w:r>
        <w:rPr>
          <w:rFonts w:hint="eastAsia" w:ascii="宋体" w:hAnsi="宋体" w:cs="宋体"/>
          <w:lang w:val="zh-CN" w:eastAsia="zh-CN"/>
        </w:rPr>
        <w:t>） 对我院的维修工程师提供每年至少2人次的专业培训，并提供培训证明材料。</w:t>
      </w:r>
    </w:p>
    <w:p>
      <w:pPr>
        <w:snapToGrid w:val="0"/>
        <w:spacing w:line="360" w:lineRule="auto"/>
        <w:ind w:firstLine="420" w:firstLineChars="200"/>
        <w:rPr>
          <w:rFonts w:ascii="宋体" w:hAnsi="宋体" w:cs="宋体"/>
        </w:rPr>
      </w:pPr>
      <w:r>
        <w:rPr>
          <w:rFonts w:hint="eastAsia" w:ascii="宋体" w:hAnsi="宋体" w:cs="宋体"/>
          <w:lang w:val="zh-CN" w:eastAsia="zh-CN"/>
        </w:rPr>
        <w:t>1</w:t>
      </w:r>
      <w:r>
        <w:rPr>
          <w:rFonts w:hint="eastAsia" w:ascii="宋体" w:hAnsi="宋体" w:cs="宋体"/>
          <w:lang w:val="en-US" w:eastAsia="zh-CN"/>
        </w:rPr>
        <w:t>7</w:t>
      </w:r>
      <w:r>
        <w:rPr>
          <w:rFonts w:hint="eastAsia" w:ascii="宋体" w:hAnsi="宋体" w:cs="宋体"/>
          <w:lang w:val="zh-CN" w:eastAsia="zh-CN"/>
        </w:rPr>
        <w:t>）每年制定临床使用人员的使用维护培训计划，按计划进行培训并提供记录。</w:t>
      </w:r>
    </w:p>
    <w:p>
      <w:pPr>
        <w:pStyle w:val="14"/>
        <w:snapToGrid w:val="0"/>
        <w:spacing w:beforeAutospacing="0" w:afterLines="50" w:afterAutospacing="0"/>
        <w:jc w:val="center"/>
        <w:rPr>
          <w:b/>
          <w:bCs/>
          <w:sz w:val="30"/>
          <w:szCs w:val="30"/>
        </w:rPr>
      </w:pPr>
      <w:r>
        <w:rPr>
          <w:rFonts w:hint="eastAsia"/>
          <w:b/>
          <w:bCs/>
          <w:sz w:val="30"/>
          <w:szCs w:val="30"/>
        </w:rPr>
        <w:t>商务要求</w:t>
      </w:r>
    </w:p>
    <w:tbl>
      <w:tblPr>
        <w:tblStyle w:val="32"/>
        <w:tblpPr w:leftFromText="180" w:rightFromText="180" w:vertAnchor="text" w:tblpXSpec="center" w:tblpY="1"/>
        <w:tblOverlap w:val="never"/>
        <w:tblW w:w="94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32"/>
        <w:gridCol w:w="73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4"/>
              <w:jc w:val="center"/>
              <w:rPr>
                <w:sz w:val="21"/>
                <w:szCs w:val="21"/>
              </w:rPr>
            </w:pPr>
            <w:r>
              <w:rPr>
                <w:rFonts w:hint="eastAsia"/>
                <w:sz w:val="21"/>
                <w:szCs w:val="21"/>
              </w:rPr>
              <w:t>合同签订时间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4"/>
              <w:rPr>
                <w:sz w:val="21"/>
                <w:szCs w:val="21"/>
              </w:rPr>
            </w:pPr>
            <w:r>
              <w:rPr>
                <w:rFonts w:hint="eastAsia"/>
                <w:sz w:val="21"/>
                <w:szCs w:val="21"/>
              </w:rPr>
              <w:t>自成交通知书发出之日起三十个日历日内。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4"/>
              <w:jc w:val="center"/>
              <w:rPr>
                <w:color w:val="000000" w:themeColor="text1"/>
                <w:sz w:val="21"/>
                <w:szCs w:val="21"/>
              </w:rPr>
            </w:pPr>
            <w:r>
              <w:rPr>
                <w:rFonts w:hint="eastAsia"/>
                <w:color w:val="000000" w:themeColor="text1"/>
                <w:sz w:val="21"/>
                <w:szCs w:val="21"/>
              </w:rPr>
              <w:t>服务地点</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4"/>
              <w:rPr>
                <w:color w:val="000000" w:themeColor="text1"/>
                <w:sz w:val="21"/>
                <w:szCs w:val="21"/>
              </w:rPr>
            </w:pPr>
            <w:r>
              <w:rPr>
                <w:rFonts w:hint="eastAsia"/>
                <w:color w:val="000000" w:themeColor="text1"/>
                <w:sz w:val="21"/>
                <w:szCs w:val="21"/>
              </w:rPr>
              <w:t>驻马店市中心医院。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4"/>
              <w:jc w:val="center"/>
              <w:rPr>
                <w:color w:val="000000" w:themeColor="text1"/>
                <w:sz w:val="21"/>
                <w:szCs w:val="21"/>
              </w:rPr>
            </w:pPr>
            <w:r>
              <w:rPr>
                <w:rFonts w:hint="eastAsia"/>
                <w:color w:val="000000" w:themeColor="text1"/>
                <w:sz w:val="21"/>
                <w:szCs w:val="21"/>
              </w:rPr>
              <w:t>服务期限</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4"/>
              <w:rPr>
                <w:color w:val="000000" w:themeColor="text1"/>
                <w:sz w:val="21"/>
                <w:szCs w:val="21"/>
              </w:rPr>
            </w:pPr>
            <w:r>
              <w:rPr>
                <w:rFonts w:hint="eastAsia"/>
                <w:color w:val="000000" w:themeColor="text1"/>
                <w:sz w:val="21"/>
                <w:szCs w:val="21"/>
              </w:rPr>
              <w:t>1年。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4"/>
              <w:jc w:val="center"/>
              <w:rPr>
                <w:color w:val="000000" w:themeColor="text1"/>
                <w:sz w:val="21"/>
                <w:szCs w:val="21"/>
              </w:rPr>
            </w:pPr>
            <w:r>
              <w:rPr>
                <w:rFonts w:hint="eastAsia"/>
                <w:color w:val="000000" w:themeColor="text1"/>
                <w:sz w:val="21"/>
                <w:szCs w:val="21"/>
              </w:rPr>
              <w:t>维修响应时间</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4"/>
              <w:rPr>
                <w:color w:val="000000" w:themeColor="text1"/>
                <w:sz w:val="21"/>
                <w:szCs w:val="21"/>
              </w:rPr>
            </w:pPr>
            <w:r>
              <w:rPr>
                <w:rFonts w:hint="eastAsia"/>
                <w:color w:val="000000" w:themeColor="text1"/>
                <w:sz w:val="21"/>
                <w:szCs w:val="21"/>
              </w:rPr>
              <w:t>20分钟内电话响应，2小时内工程师到达现场，一般故障24小时内维修完毕。如需外地专家支持，4小时内响应，24小时内到达现场。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4"/>
              <w:jc w:val="center"/>
              <w:rPr>
                <w:sz w:val="21"/>
                <w:szCs w:val="21"/>
              </w:rPr>
            </w:pPr>
            <w:r>
              <w:rPr>
                <w:rFonts w:hint="eastAsia"/>
                <w:sz w:val="21"/>
                <w:szCs w:val="21"/>
              </w:rPr>
              <w:t>服务要求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4"/>
              <w:rPr>
                <w:sz w:val="21"/>
                <w:szCs w:val="21"/>
              </w:rPr>
            </w:pPr>
            <w:r>
              <w:rPr>
                <w:rFonts w:hint="eastAsia"/>
                <w:sz w:val="21"/>
                <w:szCs w:val="21"/>
              </w:rPr>
              <w:t>周一至周日，7天24小时包括法定节假日。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4"/>
              <w:jc w:val="center"/>
              <w:rPr>
                <w:sz w:val="21"/>
                <w:szCs w:val="21"/>
              </w:rPr>
            </w:pPr>
            <w:r>
              <w:rPr>
                <w:rFonts w:hint="eastAsia"/>
                <w:sz w:val="21"/>
                <w:szCs w:val="21"/>
              </w:rPr>
              <w:t>支付方式</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4"/>
              <w:rPr>
                <w:sz w:val="21"/>
                <w:szCs w:val="21"/>
              </w:rPr>
            </w:pPr>
            <w:r>
              <w:rPr>
                <w:rFonts w:hint="eastAsia"/>
                <w:sz w:val="21"/>
                <w:szCs w:val="21"/>
              </w:rPr>
              <w:t>先服务后付款，服务六个月之后支付50%合同款，服务期满后支付余下50%合同款。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132" w:type="dxa"/>
            <w:tcBorders>
              <w:top w:val="single" w:color="auto" w:sz="4" w:space="0"/>
              <w:left w:val="single" w:color="auto" w:sz="4" w:space="0"/>
              <w:bottom w:val="single" w:color="auto" w:sz="4" w:space="0"/>
              <w:right w:val="single" w:color="auto" w:sz="4" w:space="0"/>
            </w:tcBorders>
            <w:noWrap/>
            <w:vAlign w:val="center"/>
          </w:tcPr>
          <w:p>
            <w:pPr>
              <w:pStyle w:val="14"/>
              <w:jc w:val="center"/>
              <w:rPr>
                <w:sz w:val="21"/>
                <w:szCs w:val="21"/>
              </w:rPr>
            </w:pPr>
            <w:r>
              <w:rPr>
                <w:rFonts w:hint="eastAsia"/>
                <w:sz w:val="21"/>
                <w:szCs w:val="21"/>
              </w:rPr>
              <w:t>售后技术服务要求、售后服务保障要求</w:t>
            </w:r>
          </w:p>
        </w:tc>
        <w:tc>
          <w:tcPr>
            <w:tcW w:w="7354" w:type="dxa"/>
            <w:tcBorders>
              <w:top w:val="single" w:color="auto" w:sz="4" w:space="0"/>
              <w:left w:val="single" w:color="auto" w:sz="4" w:space="0"/>
              <w:bottom w:val="single" w:color="auto" w:sz="4" w:space="0"/>
              <w:right w:val="single" w:color="auto" w:sz="4" w:space="0"/>
            </w:tcBorders>
            <w:noWrap/>
            <w:vAlign w:val="center"/>
          </w:tcPr>
          <w:p>
            <w:pPr>
              <w:pStyle w:val="14"/>
              <w:rPr>
                <w:sz w:val="21"/>
                <w:szCs w:val="21"/>
              </w:rPr>
            </w:pPr>
            <w:r>
              <w:rPr>
                <w:rFonts w:hint="eastAsia"/>
                <w:sz w:val="21"/>
                <w:szCs w:val="21"/>
              </w:rPr>
              <w:t>保证我院保修的设备正常开机率大于95% （一年按365天计算），且单次维修不能超过1天，否则设备维修占用日期每增加一天，保修时间往后顺延七天。</w:t>
            </w:r>
          </w:p>
        </w:tc>
      </w:tr>
    </w:tbl>
    <w:p>
      <w:pPr>
        <w:snapToGrid w:val="0"/>
        <w:spacing w:beforeLines="150" w:line="480" w:lineRule="auto"/>
        <w:jc w:val="center"/>
        <w:rPr>
          <w:b/>
          <w:bCs/>
          <w:sz w:val="30"/>
          <w:szCs w:val="30"/>
        </w:rPr>
      </w:pPr>
      <w:r>
        <w:rPr>
          <w:rFonts w:hint="eastAsia"/>
          <w:b/>
          <w:bCs/>
          <w:sz w:val="30"/>
          <w:szCs w:val="30"/>
        </w:rPr>
        <w:t xml:space="preserve"> 采购人对项目的特殊要求及说明</w:t>
      </w:r>
    </w:p>
    <w:tbl>
      <w:tblPr>
        <w:tblStyle w:val="32"/>
        <w:tblW w:w="93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26"/>
        <w:gridCol w:w="73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1" w:hRule="atLeast"/>
          <w:jc w:val="center"/>
        </w:trPr>
        <w:tc>
          <w:tcPr>
            <w:tcW w:w="202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kern w:val="0"/>
                <w:szCs w:val="21"/>
              </w:rPr>
            </w:pPr>
            <w:r>
              <w:rPr>
                <w:rFonts w:hint="eastAsia" w:ascii="宋体" w:hAnsi="宋体" w:cs="宋体"/>
                <w:kern w:val="0"/>
                <w:szCs w:val="21"/>
              </w:rPr>
              <w:t>采购人的特殊要求及说明理由</w:t>
            </w:r>
          </w:p>
        </w:tc>
        <w:tc>
          <w:tcPr>
            <w:tcW w:w="7343" w:type="dxa"/>
            <w:tcBorders>
              <w:top w:val="single" w:color="auto" w:sz="4" w:space="0"/>
              <w:left w:val="single" w:color="auto" w:sz="4" w:space="0"/>
              <w:bottom w:val="single" w:color="auto" w:sz="4" w:space="0"/>
              <w:right w:val="single" w:color="auto" w:sz="4" w:space="0"/>
            </w:tcBorders>
            <w:vAlign w:val="center"/>
          </w:tcPr>
          <w:p>
            <w:pPr>
              <w:widowControl/>
              <w:numPr>
                <w:ilvl w:val="0"/>
                <w:numId w:val="2"/>
              </w:numPr>
              <w:snapToGrid w:val="0"/>
              <w:spacing w:line="360" w:lineRule="auto"/>
            </w:pPr>
            <w:r>
              <w:rPr>
                <w:rFonts w:hint="eastAsia"/>
              </w:rPr>
              <w:t>不接受联合体投标，不允许转包和分包。</w:t>
            </w:r>
          </w:p>
          <w:p>
            <w:pPr>
              <w:widowControl/>
              <w:snapToGrid w:val="0"/>
              <w:spacing w:line="360" w:lineRule="auto"/>
            </w:pPr>
            <w:r>
              <w:rPr>
                <w:rFonts w:hint="eastAsia"/>
              </w:rPr>
              <w:t>2、授权磋商小组确定一名成交人并推荐一名成交候选人。</w:t>
            </w:r>
          </w:p>
          <w:p>
            <w:pPr>
              <w:widowControl/>
              <w:snapToGrid w:val="0"/>
              <w:spacing w:line="360" w:lineRule="auto"/>
            </w:pPr>
            <w:r>
              <w:rPr>
                <w:rFonts w:hint="eastAsia"/>
              </w:rPr>
              <w:t>3、供应商应根据采购文件的要求提供技术响应部分、商务响应部分等内容以对采购文件作出响应。</w:t>
            </w:r>
          </w:p>
        </w:tc>
      </w:tr>
    </w:tbl>
    <w:p/>
    <w:p>
      <w:pPr>
        <w:jc w:val="center"/>
        <w:rPr>
          <w:b/>
          <w:bCs/>
          <w:sz w:val="32"/>
          <w:szCs w:val="32"/>
        </w:rPr>
      </w:pPr>
    </w:p>
    <w:p>
      <w:pPr>
        <w:rPr>
          <w:b/>
          <w:bCs/>
          <w:sz w:val="32"/>
          <w:szCs w:val="32"/>
        </w:rPr>
      </w:pPr>
      <w:r>
        <w:rPr>
          <w:rFonts w:hint="eastAsia"/>
          <w:b/>
          <w:bCs/>
          <w:sz w:val="32"/>
          <w:szCs w:val="32"/>
        </w:rPr>
        <w:br w:type="page"/>
      </w:r>
    </w:p>
    <w:p>
      <w:pPr>
        <w:jc w:val="center"/>
        <w:outlineLvl w:val="0"/>
        <w:rPr>
          <w:b/>
          <w:bCs/>
          <w:sz w:val="32"/>
          <w:szCs w:val="32"/>
        </w:rPr>
      </w:pPr>
      <w:r>
        <w:rPr>
          <w:rFonts w:hint="eastAsia"/>
          <w:b/>
          <w:bCs/>
          <w:sz w:val="32"/>
          <w:szCs w:val="32"/>
        </w:rPr>
        <w:t>第三章  供应商须知</w:t>
      </w:r>
      <w:bookmarkEnd w:id="35"/>
    </w:p>
    <w:p>
      <w:pPr>
        <w:snapToGrid w:val="0"/>
        <w:spacing w:beforeLines="50" w:line="360" w:lineRule="auto"/>
        <w:jc w:val="center"/>
        <w:outlineLvl w:val="1"/>
        <w:rPr>
          <w:rFonts w:ascii="宋体" w:hAnsi="宋体"/>
          <w:sz w:val="28"/>
          <w:szCs w:val="28"/>
        </w:rPr>
      </w:pPr>
      <w:r>
        <w:rPr>
          <w:rFonts w:hint="eastAsia" w:ascii="宋体" w:hAnsi="宋体"/>
          <w:sz w:val="28"/>
          <w:szCs w:val="28"/>
        </w:rPr>
        <w:t>供应商须知前附表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jc w:val="center"/>
              <w:rPr>
                <w:rFonts w:ascii="宋体" w:hAnsi="宋体" w:cs="宋体"/>
                <w:kern w:val="0"/>
                <w:szCs w:val="21"/>
              </w:rPr>
            </w:pPr>
            <w:r>
              <w:rPr>
                <w:rFonts w:hint="eastAsia" w:ascii="宋体" w:hAnsi="宋体" w:cs="宋体"/>
                <w:kern w:val="0"/>
                <w:szCs w:val="21"/>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Cs w:val="21"/>
              </w:rPr>
            </w:pPr>
            <w:r>
              <w:rPr>
                <w:rFonts w:hint="eastAsia" w:ascii="宋体" w:hAnsi="宋体" w:cs="宋体"/>
                <w:kern w:val="0"/>
                <w:szCs w:val="21"/>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kern w:val="0"/>
                <w:szCs w:val="21"/>
              </w:rPr>
            </w:pPr>
            <w:r>
              <w:rPr>
                <w:rFonts w:hint="eastAsia" w:ascii="宋体" w:hAnsi="宋体" w:cs="宋体"/>
                <w:kern w:val="0"/>
                <w:szCs w:val="21"/>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lang w:eastAsia="zh-CN"/>
              </w:rPr>
            </w:pPr>
            <w:r>
              <w:rPr>
                <w:rFonts w:hint="eastAsia"/>
              </w:rPr>
              <w:t>1.1 项目名称：</w:t>
            </w:r>
            <w:r>
              <w:rPr>
                <w:rFonts w:hint="eastAsia" w:ascii="宋体" w:hAnsi="宋体" w:cs="宋体"/>
                <w:szCs w:val="21"/>
                <w:shd w:val="clear" w:color="auto" w:fill="FFFFFF"/>
                <w:lang w:eastAsia="zh-CN"/>
              </w:rPr>
              <w:t>驻马店市中心医院西门子3.0T磁共振技术保项目（二次）</w:t>
            </w:r>
          </w:p>
          <w:p>
            <w:pPr>
              <w:widowControl/>
              <w:snapToGrid w:val="0"/>
              <w:spacing w:line="440" w:lineRule="exact"/>
              <w:jc w:val="left"/>
              <w:outlineLvl w:val="0"/>
            </w:pPr>
            <w:r>
              <w:rPr>
                <w:rFonts w:hint="eastAsia"/>
              </w:rPr>
              <w:t>1.2 采购人名称：驻马店市中心医院</w:t>
            </w:r>
          </w:p>
          <w:p>
            <w:pPr>
              <w:widowControl/>
              <w:snapToGrid w:val="0"/>
              <w:spacing w:line="440" w:lineRule="exact"/>
              <w:jc w:val="left"/>
              <w:outlineLvl w:val="0"/>
            </w:pPr>
            <w:r>
              <w:rPr>
                <w:rFonts w:hint="eastAsia"/>
              </w:rPr>
              <w:t>1.3采购范围：详见第二章采购需求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kern w:val="0"/>
                <w:szCs w:val="21"/>
              </w:rPr>
            </w:pPr>
            <w:r>
              <w:rPr>
                <w:rFonts w:hint="eastAsia" w:ascii="宋体" w:hAnsi="宋体" w:cs="宋体"/>
                <w:kern w:val="0"/>
                <w:szCs w:val="21"/>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ascii="宋体" w:hAnsi="宋体" w:cs="宋体"/>
                <w:kern w:val="0"/>
                <w:szCs w:val="21"/>
              </w:rPr>
            </w:pPr>
            <w:r>
              <w:rPr>
                <w:rFonts w:hint="eastAsia" w:ascii="宋体" w:hAnsi="宋体" w:cs="宋体"/>
                <w:kern w:val="0"/>
                <w:szCs w:val="21"/>
              </w:rPr>
              <w:t>合格供应商：具备采购公告第二项规定的条件。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kern w:val="0"/>
                <w:szCs w:val="21"/>
              </w:rPr>
            </w:pPr>
            <w:r>
              <w:rPr>
                <w:rFonts w:hint="eastAsia" w:ascii="宋体" w:hAnsi="宋体" w:cs="宋体"/>
                <w:kern w:val="0"/>
                <w:szCs w:val="21"/>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ascii="宋体" w:hAnsi="宋体" w:cs="宋体"/>
                <w:kern w:val="0"/>
                <w:szCs w:val="21"/>
              </w:rPr>
            </w:pPr>
            <w:r>
              <w:rPr>
                <w:rFonts w:hint="eastAsia" w:ascii="宋体" w:hAnsi="宋体" w:cs="宋体"/>
                <w:kern w:val="0"/>
                <w:szCs w:val="21"/>
              </w:rPr>
              <w:t>采购预算：</w:t>
            </w:r>
            <w:r>
              <w:rPr>
                <w:rFonts w:hint="eastAsia" w:ascii="宋体" w:hAnsi="宋体" w:cs="宋体"/>
                <w:szCs w:val="21"/>
                <w:shd w:val="clear" w:color="auto" w:fill="FFFFFF"/>
                <w:lang w:val="en-US" w:eastAsia="zh-CN"/>
              </w:rPr>
              <w:t>47</w:t>
            </w:r>
            <w:r>
              <w:rPr>
                <w:rFonts w:hint="eastAsia" w:ascii="宋体" w:hAnsi="宋体" w:cs="宋体"/>
                <w:szCs w:val="21"/>
                <w:shd w:val="clear" w:color="auto" w:fill="FFFFFF"/>
              </w:rPr>
              <w:t>万元</w:t>
            </w:r>
            <w:r>
              <w:rPr>
                <w:rFonts w:hint="eastAsia" w:ascii="宋体" w:hAnsi="宋体" w:cs="宋体"/>
                <w:kern w:val="0"/>
                <w:szCs w:val="21"/>
              </w:rPr>
              <w:t>；</w:t>
            </w:r>
          </w:p>
          <w:p>
            <w:pPr>
              <w:widowControl/>
              <w:snapToGrid w:val="0"/>
              <w:spacing w:line="440" w:lineRule="exact"/>
              <w:jc w:val="left"/>
              <w:rPr>
                <w:rFonts w:ascii="宋体" w:hAnsi="宋体" w:cs="宋体"/>
                <w:kern w:val="0"/>
                <w:szCs w:val="21"/>
              </w:rPr>
            </w:pPr>
            <w:r>
              <w:rPr>
                <w:rFonts w:hint="eastAsia" w:ascii="宋体" w:hAnsi="宋体" w:cs="宋体"/>
                <w:kern w:val="0"/>
                <w:szCs w:val="21"/>
              </w:rPr>
              <w:t>3.1 本项目投标以人民币报价。</w:t>
            </w:r>
          </w:p>
          <w:p>
            <w:pPr>
              <w:widowControl/>
              <w:snapToGrid w:val="0"/>
              <w:spacing w:line="440" w:lineRule="exact"/>
              <w:jc w:val="left"/>
              <w:rPr>
                <w:rFonts w:ascii="宋体" w:hAnsi="宋体" w:cs="宋体"/>
                <w:kern w:val="0"/>
                <w:szCs w:val="21"/>
              </w:rPr>
            </w:pPr>
            <w:r>
              <w:rPr>
                <w:rFonts w:hint="eastAsia" w:ascii="宋体" w:hAnsi="宋体" w:cs="宋体"/>
                <w:kern w:val="0"/>
                <w:szCs w:val="21"/>
              </w:rPr>
              <w:t>3.2 供应商的报价超过采购预算，采购人不能支付的，按废标处理。</w:t>
            </w:r>
          </w:p>
          <w:p>
            <w:pPr>
              <w:widowControl/>
              <w:snapToGrid w:val="0"/>
              <w:spacing w:line="440" w:lineRule="exact"/>
              <w:jc w:val="left"/>
              <w:rPr>
                <w:rFonts w:ascii="宋体" w:hAnsi="宋体" w:cs="宋体"/>
                <w:kern w:val="0"/>
                <w:szCs w:val="21"/>
              </w:rPr>
            </w:pPr>
            <w:r>
              <w:rPr>
                <w:rFonts w:hint="eastAsia" w:ascii="宋体" w:hAnsi="宋体" w:cs="宋体"/>
                <w:kern w:val="0"/>
                <w:szCs w:val="21"/>
              </w:rPr>
              <w:t>3.3 本项目由成交供应商缴纳招标代理服务费。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kern w:val="0"/>
                <w:szCs w:val="21"/>
              </w:rPr>
            </w:pPr>
            <w:r>
              <w:rPr>
                <w:rFonts w:hint="eastAsia" w:ascii="宋体" w:hAnsi="宋体" w:cs="宋体"/>
                <w:kern w:val="0"/>
                <w:szCs w:val="21"/>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ascii="宋体" w:hAnsi="宋体" w:cs="宋体"/>
                <w:kern w:val="0"/>
                <w:szCs w:val="21"/>
              </w:rPr>
            </w:pPr>
            <w:r>
              <w:rPr>
                <w:rFonts w:hint="eastAsia" w:ascii="宋体" w:hAnsi="宋体" w:cs="宋体"/>
                <w:kern w:val="0"/>
                <w:szCs w:val="21"/>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kern w:val="0"/>
                <w:szCs w:val="21"/>
              </w:rPr>
            </w:pPr>
            <w:r>
              <w:rPr>
                <w:rFonts w:hint="eastAsia" w:ascii="宋体" w:hAnsi="宋体" w:cs="宋体"/>
                <w:kern w:val="0"/>
                <w:szCs w:val="21"/>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pPr>
            <w:r>
              <w:rPr>
                <w:rFonts w:hint="eastAsia"/>
              </w:rPr>
              <w:t>投标文件组成</w:t>
            </w:r>
            <w:r>
              <w:rPr>
                <w:rFonts w:hint="eastAsia" w:ascii="宋体" w:hAnsi="宋体" w:cs="宋体"/>
              </w:rPr>
              <w:t>：纸质投标文件正本1份、副本2份。</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jc w:val="center"/>
              <w:rPr>
                <w:rFonts w:ascii="宋体" w:hAnsi="宋体" w:cs="宋体"/>
                <w:kern w:val="0"/>
                <w:szCs w:val="21"/>
              </w:rPr>
            </w:pPr>
            <w:r>
              <w:rPr>
                <w:rFonts w:hint="eastAsia" w:ascii="宋体" w:hAnsi="宋体" w:cs="宋体"/>
                <w:kern w:val="0"/>
                <w:szCs w:val="21"/>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ascii="宋体" w:hAnsi="宋体" w:cs="宋体"/>
                <w:kern w:val="0"/>
                <w:szCs w:val="21"/>
              </w:rPr>
            </w:pPr>
            <w:r>
              <w:rPr>
                <w:rFonts w:hint="eastAsia" w:ascii="宋体" w:hAnsi="宋体" w:cs="宋体"/>
                <w:kern w:val="0"/>
                <w:szCs w:val="21"/>
              </w:rPr>
              <w:t>投标截止时间及开标时间：</w:t>
            </w:r>
            <w:r>
              <w:rPr>
                <w:rFonts w:hint="eastAsia" w:ascii="宋体" w:hAnsi="宋体" w:cs="宋体"/>
                <w:color w:val="000000"/>
                <w:szCs w:val="21"/>
              </w:rPr>
              <w:t>另行通知</w:t>
            </w:r>
          </w:p>
          <w:p>
            <w:pPr>
              <w:widowControl/>
              <w:snapToGrid w:val="0"/>
              <w:spacing w:line="440" w:lineRule="exact"/>
              <w:jc w:val="left"/>
              <w:rPr>
                <w:rFonts w:ascii="宋体" w:hAnsi="宋体" w:cs="宋体"/>
                <w:kern w:val="0"/>
                <w:szCs w:val="21"/>
              </w:rPr>
            </w:pPr>
            <w:r>
              <w:rPr>
                <w:rFonts w:hint="eastAsia" w:ascii="宋体" w:hAnsi="宋体" w:cs="宋体"/>
                <w:kern w:val="0"/>
                <w:szCs w:val="21"/>
              </w:rPr>
              <w:t>投标文件递交地点及开标地点：</w:t>
            </w:r>
            <w:r>
              <w:rPr>
                <w:rFonts w:hint="eastAsia" w:ascii="宋体" w:hAnsi="宋体" w:cs="宋体"/>
                <w:color w:val="000000"/>
                <w:szCs w:val="21"/>
              </w:rPr>
              <w:t>另行通知</w:t>
            </w:r>
            <w:r>
              <w:rPr>
                <w:rFonts w:hint="eastAsia" w:ascii="宋体" w:hAnsi="宋体" w:cs="宋体"/>
                <w:kern w:val="0"/>
                <w:szCs w:val="21"/>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kern w:val="0"/>
                <w:szCs w:val="21"/>
              </w:rPr>
            </w:pPr>
            <w:r>
              <w:rPr>
                <w:rFonts w:hint="eastAsia" w:ascii="宋体" w:hAnsi="宋体" w:cs="宋体"/>
                <w:kern w:val="0"/>
                <w:szCs w:val="21"/>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ascii="宋体" w:hAnsi="宋体" w:cs="宋体"/>
                <w:szCs w:val="21"/>
              </w:rPr>
            </w:pPr>
            <w:r>
              <w:rPr>
                <w:rFonts w:hint="eastAsia" w:ascii="宋体" w:hAnsi="宋体" w:cs="宋体"/>
                <w:szCs w:val="21"/>
              </w:rPr>
              <w:t>评审委员会成</w:t>
            </w:r>
            <w:r>
              <w:rPr>
                <w:rFonts w:hint="eastAsia" w:ascii="宋体" w:hAnsi="宋体" w:cs="宋体"/>
                <w:kern w:val="0"/>
                <w:szCs w:val="21"/>
              </w:rPr>
              <w:t>员：</w:t>
            </w:r>
            <w:r>
              <w:rPr>
                <w:rFonts w:hint="eastAsia" w:ascii="宋体" w:hAnsi="宋体" w:cs="宋体"/>
                <w:szCs w:val="21"/>
              </w:rPr>
              <w:t>3</w:t>
            </w:r>
            <w:r>
              <w:rPr>
                <w:rFonts w:hint="eastAsia" w:ascii="宋体" w:hAnsi="宋体" w:cs="宋体"/>
              </w:rPr>
              <w:t>人及以上单数</w:t>
            </w:r>
            <w:r>
              <w:rPr>
                <w:rFonts w:hint="eastAsia" w:ascii="宋体" w:hAnsi="宋体" w:cs="宋体"/>
                <w:kern w:val="0"/>
                <w:szCs w:val="21"/>
              </w:rPr>
              <w:t>。</w:t>
            </w:r>
          </w:p>
          <w:p>
            <w:pPr>
              <w:widowControl/>
              <w:spacing w:line="440" w:lineRule="exact"/>
              <w:jc w:val="left"/>
              <w:rPr>
                <w:rFonts w:ascii="宋体" w:hAnsi="宋体" w:cs="宋体"/>
                <w:kern w:val="0"/>
                <w:szCs w:val="21"/>
              </w:rPr>
            </w:pPr>
            <w:r>
              <w:rPr>
                <w:rFonts w:hint="eastAsia" w:ascii="宋体" w:hAnsi="宋体" w:cs="宋体"/>
                <w:szCs w:val="21"/>
              </w:rPr>
              <w:t>专家确定方式：</w:t>
            </w:r>
            <w:r>
              <w:rPr>
                <w:rFonts w:hint="eastAsia" w:ascii="宋体" w:hAnsi="宋体" w:cs="宋体"/>
                <w:kern w:val="0"/>
                <w:szCs w:val="21"/>
              </w:rPr>
              <w:t>由采购人抽取相关的技术人员组成。</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jc w:val="center"/>
              <w:rPr>
                <w:rFonts w:ascii="宋体" w:hAnsi="宋体" w:cs="宋体"/>
                <w:kern w:val="0"/>
                <w:szCs w:val="21"/>
              </w:rPr>
            </w:pPr>
            <w:r>
              <w:rPr>
                <w:rFonts w:hint="eastAsia" w:ascii="宋体" w:hAnsi="宋体" w:cs="宋体"/>
                <w:kern w:val="0"/>
                <w:szCs w:val="21"/>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rPr>
                <w:rFonts w:ascii="宋体" w:hAnsi="宋体" w:cs="宋体"/>
                <w:kern w:val="0"/>
                <w:szCs w:val="21"/>
              </w:rPr>
            </w:pPr>
            <w:r>
              <w:rPr>
                <w:rFonts w:hint="eastAsia" w:ascii="宋体" w:hAnsi="宋体" w:cs="宋体"/>
                <w:szCs w:val="21"/>
              </w:rPr>
              <w:t>评标办法：</w:t>
            </w:r>
            <w:r>
              <w:rPr>
                <w:rFonts w:hint="eastAsia" w:ascii="宋体" w:hAnsi="宋体" w:cs="宋体"/>
                <w:kern w:val="0"/>
                <w:szCs w:val="21"/>
              </w:rPr>
              <w:t>本项目采用</w:t>
            </w:r>
            <w:r>
              <w:rPr>
                <w:rFonts w:hint="eastAsia" w:ascii="宋体" w:hAnsi="宋体" w:cs="宋体"/>
                <w:szCs w:val="21"/>
              </w:rPr>
              <w:t>综合评分法</w:t>
            </w:r>
            <w:r>
              <w:rPr>
                <w:rFonts w:hint="eastAsia" w:ascii="宋体" w:hAnsi="宋体" w:cs="宋体"/>
                <w:kern w:val="0"/>
                <w:szCs w:val="21"/>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kern w:val="0"/>
                <w:szCs w:val="21"/>
              </w:rPr>
            </w:pPr>
            <w:r>
              <w:rPr>
                <w:rFonts w:hint="eastAsia" w:ascii="宋体" w:hAnsi="宋体" w:cs="宋体"/>
                <w:kern w:val="0"/>
                <w:szCs w:val="21"/>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kern w:val="0"/>
                <w:szCs w:val="21"/>
              </w:rPr>
            </w:pPr>
            <w:r>
              <w:rPr>
                <w:rFonts w:hint="eastAsia" w:ascii="宋体" w:hAnsi="宋体" w:cs="宋体"/>
                <w:kern w:val="0"/>
                <w:szCs w:val="21"/>
              </w:rPr>
              <w:t>中标公告及中标通知书：由采购人授权磋商小组确定一名成交人并推荐一名成交候选人。评审结束后在《驻马店市中心医院》官网</w:t>
            </w:r>
            <w:r>
              <w:rPr>
                <w:rFonts w:hint="eastAsia" w:ascii="宋体" w:hAnsi="宋体" w:cs="Arial"/>
                <w:kern w:val="0"/>
                <w:szCs w:val="21"/>
              </w:rPr>
              <w:t>上</w:t>
            </w:r>
            <w:r>
              <w:rPr>
                <w:rFonts w:hint="eastAsia" w:ascii="宋体" w:hAnsi="宋体" w:cs="宋体"/>
                <w:kern w:val="0"/>
                <w:szCs w:val="21"/>
              </w:rPr>
              <w:t>发布成交公告，公示期结束后向成交人发出成交通知书。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kern w:val="0"/>
                <w:szCs w:val="21"/>
              </w:rPr>
            </w:pPr>
            <w:r>
              <w:rPr>
                <w:rFonts w:hint="eastAsia" w:ascii="宋体" w:hAnsi="宋体" w:cs="宋体"/>
                <w:kern w:val="0"/>
                <w:szCs w:val="21"/>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kern w:val="0"/>
                <w:szCs w:val="21"/>
              </w:rPr>
            </w:pPr>
            <w:r>
              <w:rPr>
                <w:rFonts w:hint="eastAsia" w:ascii="宋体" w:hAnsi="宋体" w:cs="宋体"/>
                <w:kern w:val="0"/>
                <w:szCs w:val="21"/>
              </w:rPr>
              <w:t>签订合同：自中标通知书发出之日起30日内。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color w:val="FF0000"/>
                <w:kern w:val="0"/>
                <w:szCs w:val="21"/>
              </w:rPr>
            </w:pPr>
            <w:r>
              <w:rPr>
                <w:rFonts w:hint="eastAsia" w:ascii="宋体" w:hAnsi="宋体" w:cs="宋体"/>
                <w:kern w:val="0"/>
                <w:szCs w:val="21"/>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color w:val="FF0000"/>
                <w:kern w:val="0"/>
                <w:szCs w:val="21"/>
              </w:rPr>
            </w:pPr>
            <w:r>
              <w:rPr>
                <w:rFonts w:hint="eastAsia" w:ascii="宋体" w:hAnsi="宋体" w:cs="宋体"/>
                <w:kern w:val="0"/>
                <w:szCs w:val="21"/>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kern w:val="0"/>
                <w:szCs w:val="21"/>
              </w:rPr>
            </w:pPr>
            <w:r>
              <w:rPr>
                <w:rFonts w:hint="eastAsia" w:ascii="宋体" w:hAnsi="宋体" w:cs="宋体"/>
                <w:kern w:val="0"/>
                <w:szCs w:val="21"/>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kern w:val="0"/>
                <w:szCs w:val="21"/>
              </w:rPr>
            </w:pPr>
            <w:r>
              <w:rPr>
                <w:rFonts w:hint="eastAsia" w:ascii="宋体" w:hAnsi="宋体" w:cs="宋体"/>
                <w:kern w:val="0"/>
                <w:szCs w:val="21"/>
              </w:rPr>
              <w:t>付款方式：详见第二章采购需求。</w:t>
            </w:r>
          </w:p>
        </w:tc>
      </w:tr>
      <w:tr>
        <w:tblPrEx>
          <w:tblCellMar>
            <w:top w:w="0" w:type="dxa"/>
            <w:left w:w="0" w:type="dxa"/>
            <w:bottom w:w="0" w:type="dxa"/>
            <w:right w:w="0" w:type="dxa"/>
          </w:tblCellMar>
        </w:tblPrEx>
        <w:trPr>
          <w:trHeight w:val="9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kern w:val="0"/>
                <w:szCs w:val="21"/>
              </w:rPr>
            </w:pPr>
            <w:r>
              <w:rPr>
                <w:rFonts w:hint="eastAsia" w:ascii="宋体" w:hAnsi="宋体" w:cs="宋体"/>
                <w:kern w:val="0"/>
                <w:szCs w:val="21"/>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ascii="宋体" w:hAnsi="宋体" w:cs="宋体"/>
                <w:kern w:val="0"/>
                <w:szCs w:val="21"/>
              </w:rPr>
            </w:pPr>
            <w:r>
              <w:rPr>
                <w:rFonts w:hint="eastAsia" w:ascii="宋体" w:hAnsi="宋体" w:cs="宋体"/>
                <w:kern w:val="0"/>
                <w:szCs w:val="21"/>
              </w:rPr>
              <w:t>投标文件有效期：投标文件递交截止期结束后90日。中标人的投标文件是合同的组成部分,有效期至合同完全履行止。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kern w:val="0"/>
                <w:szCs w:val="21"/>
              </w:rPr>
            </w:pPr>
            <w:r>
              <w:rPr>
                <w:rFonts w:hint="eastAsia" w:ascii="宋体" w:hAnsi="宋体" w:cs="宋体"/>
                <w:kern w:val="0"/>
                <w:szCs w:val="21"/>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kern w:val="0"/>
                <w:szCs w:val="21"/>
              </w:rPr>
            </w:pPr>
            <w:r>
              <w:rPr>
                <w:rFonts w:hint="eastAsia" w:ascii="宋体" w:hAnsi="宋体" w:cs="宋体"/>
                <w:szCs w:val="21"/>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kern w:val="0"/>
                <w:szCs w:val="21"/>
              </w:rPr>
            </w:pPr>
            <w:r>
              <w:rPr>
                <w:rFonts w:hint="eastAsia" w:ascii="宋体" w:hAnsi="宋体" w:cs="宋体"/>
                <w:kern w:val="0"/>
                <w:szCs w:val="21"/>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ascii="宋体" w:hAnsi="宋体" w:cs="宋体"/>
                <w:kern w:val="0"/>
                <w:szCs w:val="21"/>
              </w:rPr>
            </w:pPr>
            <w:r>
              <w:rPr>
                <w:rFonts w:hint="eastAsia" w:ascii="宋体" w:hAnsi="宋体" w:cs="宋体"/>
                <w:szCs w:val="21"/>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ascii="宋体" w:hAnsi="宋体" w:cs="宋体"/>
                <w:kern w:val="0"/>
                <w:szCs w:val="21"/>
              </w:rPr>
            </w:pPr>
            <w:r>
              <w:rPr>
                <w:rFonts w:hint="eastAsia" w:ascii="宋体" w:hAnsi="宋体" w:cs="宋体"/>
                <w:kern w:val="0"/>
                <w:szCs w:val="21"/>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ascii="宋体" w:hAnsi="宋体" w:cs="宋体"/>
                <w:kern w:val="0"/>
                <w:szCs w:val="21"/>
              </w:rPr>
            </w:pPr>
            <w:r>
              <w:rPr>
                <w:rFonts w:hint="eastAsia" w:ascii="宋体" w:hAnsi="宋体" w:cs="宋体"/>
                <w:bCs/>
                <w:kern w:val="0"/>
                <w:szCs w:val="21"/>
              </w:rPr>
              <w:t>质疑和投诉：供应商认为采购文件使自己的合法权益受到损害的，</w:t>
            </w:r>
            <w:r>
              <w:rPr>
                <w:rFonts w:hint="eastAsia" w:ascii="宋体" w:hAnsi="宋体" w:cs="宋体"/>
                <w:kern w:val="0"/>
                <w:szCs w:val="21"/>
              </w:rPr>
              <w:t>应当在采购公告期限届满之日(或收到采购文件</w:t>
            </w:r>
            <w:r>
              <w:rPr>
                <w:rFonts w:hint="eastAsia" w:ascii="宋体" w:hAnsi="宋体" w:cs="宋体"/>
                <w:color w:val="auto"/>
                <w:kern w:val="0"/>
                <w:szCs w:val="21"/>
              </w:rPr>
              <w:t>之日)起3个工作日之内向</w:t>
            </w:r>
            <w:r>
              <w:rPr>
                <w:rFonts w:hint="eastAsia" w:ascii="宋体" w:hAnsi="宋体" w:cs="宋体"/>
                <w:bCs/>
                <w:color w:val="auto"/>
                <w:kern w:val="0"/>
                <w:szCs w:val="21"/>
              </w:rPr>
              <w:t>采购人提出质疑；供应商认为磋商过程和中标结果使自己的合法权益受到损害的，应当在知道或者应知其权益受到损害之日起3个工作日</w:t>
            </w:r>
            <w:r>
              <w:rPr>
                <w:rFonts w:hint="eastAsia" w:ascii="宋体" w:hAnsi="宋体" w:cs="宋体"/>
                <w:bCs/>
                <w:kern w:val="0"/>
                <w:szCs w:val="21"/>
              </w:rPr>
              <w:t>内提出质疑。</w:t>
            </w:r>
            <w:r>
              <w:rPr>
                <w:rFonts w:hint="eastAsia" w:ascii="宋体" w:hAnsi="宋体" w:cs="宋体"/>
                <w:kern w:val="0"/>
                <w:szCs w:val="21"/>
              </w:rPr>
              <w:t>逾期不再受理,</w:t>
            </w:r>
            <w:r>
              <w:rPr>
                <w:rFonts w:hint="eastAsia" w:ascii="宋体" w:hAnsi="宋体" w:cs="宋体"/>
                <w:bCs/>
                <w:kern w:val="0"/>
                <w:szCs w:val="21"/>
              </w:rPr>
              <w:t>供应商在法定质疑期内应一次性提出针对同一采购环节的质疑。</w:t>
            </w:r>
            <w:r>
              <w:rPr>
                <w:rFonts w:hint="eastAsia" w:ascii="宋体" w:hAnsi="宋体" w:cs="宋体"/>
                <w:kern w:val="0"/>
                <w:szCs w:val="21"/>
              </w:rPr>
              <w:t>供应商对</w:t>
            </w:r>
            <w:r>
              <w:rPr>
                <w:rFonts w:hint="eastAsia" w:ascii="宋体" w:hAnsi="宋体" w:cs="宋体"/>
                <w:bCs/>
                <w:kern w:val="0"/>
                <w:szCs w:val="21"/>
              </w:rPr>
              <w:t>采购人</w:t>
            </w:r>
            <w:r>
              <w:rPr>
                <w:rFonts w:hint="eastAsia" w:ascii="宋体" w:hAnsi="宋体" w:cs="宋体"/>
                <w:kern w:val="0"/>
                <w:szCs w:val="21"/>
              </w:rPr>
              <w:t>的质疑答复不满意,或</w:t>
            </w:r>
            <w:r>
              <w:rPr>
                <w:rFonts w:hint="eastAsia" w:ascii="宋体" w:hAnsi="宋体" w:cs="宋体"/>
                <w:bCs/>
                <w:kern w:val="0"/>
                <w:szCs w:val="21"/>
              </w:rPr>
              <w:t>采购人</w:t>
            </w:r>
            <w:r>
              <w:rPr>
                <w:rFonts w:hint="eastAsia" w:ascii="宋体" w:hAnsi="宋体" w:cs="宋体"/>
                <w:kern w:val="0"/>
                <w:szCs w:val="21"/>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ascii="宋体" w:hAnsi="宋体" w:cs="宋体"/>
                <w:kern w:val="0"/>
                <w:szCs w:val="21"/>
              </w:rPr>
            </w:pPr>
            <w:r>
              <w:rPr>
                <w:rFonts w:hint="eastAsia" w:ascii="宋体" w:hAnsi="宋体" w:cs="宋体"/>
                <w:kern w:val="0"/>
                <w:szCs w:val="21"/>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pPr>
            <w:r>
              <w:rPr>
                <w:rFonts w:hint="eastAsia"/>
              </w:rPr>
              <w:t>解释：1、构成本采购文件的各个组成文件应互为解释，互为说明；如有不明确或不一致，构成合同文件组成内容的，以合同文件约定内容为准；除采购文件中有特殊规定外，仅适用于招标投标阶段的规定，按采购公告、供应商须知、评标办法、投标文件格式的先后顺序解释；同一组成文件中就同一事项的规定或约定不一致的，以编排顺序在后者为准；当采购文件与采购文件的澄清、修改或补充通知就同一内容的表述不一致时，以最后发出的书面文件为准。合同文件约定或后者明显错误的除外。</w:t>
            </w:r>
          </w:p>
          <w:p>
            <w:pPr>
              <w:widowControl/>
              <w:spacing w:line="360" w:lineRule="auto"/>
              <w:jc w:val="left"/>
              <w:textAlignment w:val="bottom"/>
              <w:rPr>
                <w:rFonts w:ascii="宋体" w:hAnsi="宋体" w:cs="宋体"/>
                <w:kern w:val="0"/>
                <w:szCs w:val="21"/>
              </w:rPr>
            </w:pPr>
            <w:r>
              <w:rPr>
                <w:rFonts w:hint="eastAsia"/>
              </w:rPr>
              <w:t>2、本采购文件解释权归采购人。</w:t>
            </w:r>
          </w:p>
        </w:tc>
      </w:tr>
    </w:tbl>
    <w:p/>
    <w:p>
      <w:pPr>
        <w:widowControl/>
        <w:snapToGrid w:val="0"/>
        <w:spacing w:line="360" w:lineRule="auto"/>
        <w:ind w:firstLine="2760"/>
        <w:jc w:val="left"/>
        <w:outlineLvl w:val="1"/>
        <w:rPr>
          <w:rFonts w:ascii="宋体" w:hAnsi="宋体" w:cs="宋体"/>
          <w:kern w:val="0"/>
          <w:sz w:val="24"/>
        </w:rPr>
      </w:pPr>
      <w:r>
        <w:rPr>
          <w:rFonts w:hint="eastAsia" w:ascii="黑体" w:hAnsi="宋体" w:eastAsia="黑体" w:cs="宋体"/>
          <w:b/>
          <w:bCs/>
          <w:kern w:val="0"/>
          <w:sz w:val="28"/>
          <w:szCs w:val="28"/>
        </w:rPr>
        <w:t>一 、说 明</w:t>
      </w:r>
    </w:p>
    <w:p>
      <w:pPr>
        <w:snapToGrid w:val="0"/>
        <w:spacing w:line="360" w:lineRule="auto"/>
      </w:pPr>
    </w:p>
    <w:p>
      <w:pPr>
        <w:widowControl/>
        <w:snapToGrid w:val="0"/>
        <w:spacing w:line="360" w:lineRule="auto"/>
        <w:ind w:firstLine="420"/>
        <w:jc w:val="left"/>
        <w:rPr>
          <w:rFonts w:ascii="宋体" w:hAnsi="宋体" w:cs="宋体"/>
          <w:b/>
          <w:bCs/>
          <w:kern w:val="0"/>
          <w:szCs w:val="21"/>
        </w:rPr>
      </w:pPr>
      <w:r>
        <w:rPr>
          <w:rFonts w:hint="eastAsia" w:ascii="宋体" w:hAnsi="宋体" w:cs="宋体"/>
          <w:b/>
          <w:bCs/>
          <w:kern w:val="0"/>
          <w:szCs w:val="21"/>
        </w:rPr>
        <w:t>1.适用范围</w:t>
      </w:r>
    </w:p>
    <w:p>
      <w:pPr>
        <w:widowControl/>
        <w:snapToGrid w:val="0"/>
        <w:spacing w:line="360" w:lineRule="auto"/>
        <w:ind w:firstLine="420" w:firstLineChars="200"/>
        <w:jc w:val="left"/>
        <w:rPr>
          <w:rFonts w:ascii="宋体" w:hAnsi="宋体" w:cs="宋体"/>
          <w:color w:val="000000" w:themeColor="text1"/>
          <w:kern w:val="0"/>
          <w:szCs w:val="21"/>
        </w:rPr>
      </w:pPr>
      <w:r>
        <w:rPr>
          <w:rFonts w:hint="eastAsia" w:ascii="宋体" w:hAnsi="宋体" w:cs="宋体"/>
          <w:kern w:val="0"/>
          <w:szCs w:val="21"/>
        </w:rPr>
        <w:t>本采购文件仅适用于采购</w:t>
      </w:r>
      <w:r>
        <w:rPr>
          <w:rFonts w:hint="eastAsia" w:ascii="宋体" w:hAnsi="宋体" w:cs="宋体"/>
          <w:color w:val="000000" w:themeColor="text1"/>
          <w:kern w:val="0"/>
          <w:szCs w:val="21"/>
        </w:rPr>
        <w:t>公告中所叙述项目的服务采购。</w:t>
      </w:r>
    </w:p>
    <w:p>
      <w:pPr>
        <w:widowControl/>
        <w:snapToGrid w:val="0"/>
        <w:spacing w:line="360" w:lineRule="auto"/>
        <w:ind w:firstLine="420"/>
        <w:jc w:val="left"/>
        <w:rPr>
          <w:rFonts w:ascii="宋体" w:hAnsi="宋体" w:cs="宋体"/>
          <w:b/>
          <w:bCs/>
          <w:kern w:val="0"/>
          <w:szCs w:val="21"/>
        </w:rPr>
      </w:pPr>
      <w:r>
        <w:rPr>
          <w:rFonts w:hint="eastAsia" w:ascii="宋体" w:hAnsi="宋体" w:cs="宋体"/>
          <w:b/>
          <w:bCs/>
          <w:kern w:val="0"/>
          <w:szCs w:val="21"/>
        </w:rPr>
        <w:t>2.定义</w:t>
      </w:r>
    </w:p>
    <w:p>
      <w:pPr>
        <w:widowControl/>
        <w:snapToGrid w:val="0"/>
        <w:spacing w:line="360" w:lineRule="auto"/>
        <w:ind w:firstLine="420" w:firstLineChars="200"/>
        <w:jc w:val="left"/>
        <w:rPr>
          <w:rFonts w:ascii="宋体" w:hAnsi="宋体" w:cs="宋体"/>
          <w:color w:val="000000" w:themeColor="text1"/>
          <w:kern w:val="0"/>
          <w:szCs w:val="21"/>
        </w:rPr>
      </w:pPr>
      <w:r>
        <w:rPr>
          <w:rFonts w:hint="eastAsia" w:ascii="宋体" w:hAnsi="宋体" w:cs="宋体"/>
          <w:kern w:val="0"/>
          <w:szCs w:val="21"/>
        </w:rPr>
        <w:t>2.1 “采购人</w:t>
      </w:r>
      <w:r>
        <w:rPr>
          <w:rFonts w:hint="eastAsia" w:ascii="宋体" w:hAnsi="宋体" w:cs="宋体"/>
          <w:color w:val="000000" w:themeColor="text1"/>
          <w:kern w:val="0"/>
          <w:szCs w:val="21"/>
        </w:rPr>
        <w:t>”系指各级国家机关、事业单位、团体组织。</w:t>
      </w:r>
    </w:p>
    <w:p>
      <w:pPr>
        <w:widowControl/>
        <w:snapToGrid w:val="0"/>
        <w:spacing w:line="360" w:lineRule="auto"/>
        <w:ind w:firstLine="420" w:firstLineChars="200"/>
        <w:jc w:val="left"/>
        <w:rPr>
          <w:rFonts w:ascii="宋体" w:hAnsi="宋体" w:cs="宋体"/>
          <w:color w:val="000000" w:themeColor="text1"/>
          <w:kern w:val="0"/>
          <w:szCs w:val="21"/>
        </w:rPr>
      </w:pPr>
      <w:r>
        <w:rPr>
          <w:rFonts w:hint="eastAsia" w:ascii="宋体" w:hAnsi="宋体" w:cs="宋体"/>
          <w:color w:val="000000" w:themeColor="text1"/>
          <w:kern w:val="0"/>
          <w:szCs w:val="21"/>
        </w:rPr>
        <w:t>2.2 “供应商”系指领取了本采购文件，且已经提交本次投标文件的供应商。</w:t>
      </w:r>
    </w:p>
    <w:p>
      <w:pPr>
        <w:widowControl/>
        <w:snapToGrid w:val="0"/>
        <w:spacing w:line="360" w:lineRule="auto"/>
        <w:ind w:firstLine="420" w:firstLineChars="200"/>
        <w:jc w:val="left"/>
        <w:rPr>
          <w:rFonts w:ascii="宋体" w:hAnsi="宋体" w:cs="宋体"/>
          <w:color w:val="000000" w:themeColor="text1"/>
          <w:kern w:val="0"/>
          <w:szCs w:val="21"/>
        </w:rPr>
      </w:pPr>
      <w:r>
        <w:rPr>
          <w:rFonts w:hint="eastAsia" w:ascii="宋体" w:hAnsi="宋体" w:cs="宋体"/>
          <w:color w:val="000000" w:themeColor="text1"/>
          <w:kern w:val="0"/>
          <w:szCs w:val="21"/>
        </w:rPr>
        <w:t>2.3 “供应商代表”系指代表供应商参加本次采购活动的供应商的法定代表人或其委托代理人。</w:t>
      </w:r>
    </w:p>
    <w:p>
      <w:pPr>
        <w:widowControl/>
        <w:snapToGrid w:val="0"/>
        <w:spacing w:line="360" w:lineRule="auto"/>
        <w:ind w:firstLine="420" w:firstLineChars="200"/>
        <w:jc w:val="left"/>
        <w:rPr>
          <w:rFonts w:ascii="宋体" w:hAnsi="宋体" w:cs="宋体"/>
          <w:color w:val="000000" w:themeColor="text1"/>
          <w:kern w:val="0"/>
          <w:szCs w:val="21"/>
        </w:rPr>
      </w:pPr>
      <w:r>
        <w:rPr>
          <w:rFonts w:hint="eastAsia" w:ascii="宋体" w:hAnsi="宋体" w:cs="宋体"/>
          <w:color w:val="000000" w:themeColor="text1"/>
          <w:kern w:val="0"/>
          <w:szCs w:val="21"/>
        </w:rPr>
        <w:t>2.4 “服务”系指供应商按采购文件规定向采购人提供的一切工作内容。</w:t>
      </w:r>
    </w:p>
    <w:p>
      <w:pPr>
        <w:widowControl/>
        <w:snapToGrid w:val="0"/>
        <w:spacing w:line="360" w:lineRule="auto"/>
        <w:ind w:firstLine="420"/>
        <w:jc w:val="left"/>
        <w:rPr>
          <w:rFonts w:ascii="宋体" w:hAnsi="宋体" w:cs="宋体"/>
          <w:kern w:val="0"/>
          <w:szCs w:val="21"/>
        </w:rPr>
      </w:pPr>
      <w:r>
        <w:rPr>
          <w:rFonts w:hint="eastAsia" w:ascii="宋体" w:hAnsi="宋体" w:cs="宋体"/>
          <w:b/>
          <w:bCs/>
          <w:kern w:val="0"/>
          <w:szCs w:val="21"/>
        </w:rPr>
        <w:t>3.采购预算：</w:t>
      </w:r>
      <w:r>
        <w:rPr>
          <w:rFonts w:hint="eastAsia" w:ascii="宋体" w:hAnsi="宋体" w:cs="宋体"/>
          <w:b/>
          <w:bCs/>
          <w:kern w:val="0"/>
          <w:szCs w:val="21"/>
          <w:lang w:val="en-US" w:eastAsia="zh-CN"/>
        </w:rPr>
        <w:t>47</w:t>
      </w:r>
      <w:r>
        <w:rPr>
          <w:rFonts w:hint="eastAsia" w:ascii="宋体" w:hAnsi="宋体" w:cs="宋体"/>
          <w:b/>
          <w:bCs/>
          <w:kern w:val="0"/>
          <w:szCs w:val="21"/>
        </w:rPr>
        <w:t>万元；最高投标限价</w:t>
      </w:r>
      <w:r>
        <w:rPr>
          <w:rFonts w:hint="eastAsia" w:ascii="宋体" w:hAnsi="宋体" w:cs="宋体"/>
          <w:b/>
          <w:bCs/>
          <w:kern w:val="0"/>
          <w:szCs w:val="21"/>
          <w:lang w:val="en-US" w:eastAsia="zh-CN"/>
        </w:rPr>
        <w:t>47</w:t>
      </w:r>
      <w:r>
        <w:rPr>
          <w:rFonts w:hint="eastAsia" w:ascii="宋体" w:hAnsi="宋体" w:cs="宋体"/>
          <w:b/>
          <w:bCs/>
          <w:kern w:val="0"/>
          <w:szCs w:val="21"/>
        </w:rPr>
        <w:t>万元；</w:t>
      </w:r>
    </w:p>
    <w:p>
      <w:pPr>
        <w:widowControl/>
        <w:snapToGrid w:val="0"/>
        <w:spacing w:line="360" w:lineRule="auto"/>
        <w:ind w:firstLine="420"/>
        <w:jc w:val="left"/>
        <w:rPr>
          <w:rFonts w:ascii="宋体" w:hAnsi="宋体" w:cs="宋体"/>
          <w:szCs w:val="21"/>
        </w:rPr>
      </w:pPr>
      <w:r>
        <w:rPr>
          <w:rFonts w:hint="eastAsia" w:ascii="宋体" w:hAnsi="宋体" w:cs="宋体"/>
          <w:b/>
          <w:bCs/>
          <w:kern w:val="0"/>
          <w:szCs w:val="21"/>
        </w:rPr>
        <w:t>4.供应商应提交的证明文件</w:t>
      </w:r>
    </w:p>
    <w:p>
      <w:pPr>
        <w:autoSpaceDE w:val="0"/>
        <w:autoSpaceDN w:val="0"/>
        <w:adjustRightInd w:val="0"/>
        <w:snapToGrid w:val="0"/>
        <w:spacing w:line="440" w:lineRule="exact"/>
        <w:ind w:firstLine="420" w:firstLineChars="200"/>
        <w:rPr>
          <w:rFonts w:ascii="宋体" w:hAnsi="宋体" w:cs="宋体"/>
        </w:rPr>
      </w:pPr>
      <w:r>
        <w:rPr>
          <w:rFonts w:hint="eastAsia" w:ascii="宋体" w:hAnsi="宋体" w:cs="宋体"/>
        </w:rPr>
        <w:t>4.1 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autoSpaceDE w:val="0"/>
        <w:autoSpaceDN w:val="0"/>
        <w:adjustRightInd w:val="0"/>
        <w:snapToGrid w:val="0"/>
        <w:spacing w:line="440" w:lineRule="exact"/>
        <w:ind w:firstLine="420" w:firstLineChars="200"/>
        <w:rPr>
          <w:rFonts w:ascii="宋体" w:hAnsi="宋体" w:cs="宋体"/>
        </w:rPr>
      </w:pPr>
      <w:r>
        <w:rPr>
          <w:rFonts w:hint="eastAsia" w:ascii="宋体" w:hAnsi="宋体" w:cs="宋体"/>
        </w:rPr>
        <w:t>4.2 供应商应提供2022年度经审计的财务报告或者其基本开户银行出具的资信证明；采购活动近三个月或上个季度任意一个月的依法缴纳税收的凭据；依法免税的供应商，应提供相应文件证明其依法免税。（新成立企业从成立之日起计算）；</w:t>
      </w:r>
    </w:p>
    <w:p>
      <w:pPr>
        <w:autoSpaceDE w:val="0"/>
        <w:autoSpaceDN w:val="0"/>
        <w:adjustRightInd w:val="0"/>
        <w:snapToGrid w:val="0"/>
        <w:spacing w:line="440" w:lineRule="exact"/>
        <w:ind w:firstLine="420" w:firstLineChars="200"/>
        <w:rPr>
          <w:rFonts w:ascii="宋体" w:hAnsi="宋体" w:cs="宋体"/>
        </w:rPr>
      </w:pPr>
      <w:r>
        <w:rPr>
          <w:rFonts w:hint="eastAsia" w:ascii="宋体" w:hAnsi="宋体" w:cs="宋体"/>
        </w:rPr>
        <w:t>4.3 具有履行合同所必需的设备和专业技术能力（提供书面声明函）；</w:t>
      </w:r>
    </w:p>
    <w:p>
      <w:pPr>
        <w:autoSpaceDE w:val="0"/>
        <w:autoSpaceDN w:val="0"/>
        <w:adjustRightInd w:val="0"/>
        <w:snapToGrid w:val="0"/>
        <w:spacing w:line="440" w:lineRule="exact"/>
        <w:ind w:firstLine="420" w:firstLineChars="200"/>
        <w:rPr>
          <w:rFonts w:ascii="宋体" w:hAnsi="宋体" w:cs="宋体"/>
        </w:rPr>
      </w:pPr>
      <w:r>
        <w:rPr>
          <w:rFonts w:hint="eastAsia" w:ascii="宋体" w:hAnsi="宋体" w:cs="宋体"/>
        </w:rPr>
        <w:t>4.4 参加本采购活动前三年内，在经营活动中没有重大违法记录（提供书面声明函）；</w:t>
      </w:r>
    </w:p>
    <w:p>
      <w:pPr>
        <w:autoSpaceDE w:val="0"/>
        <w:autoSpaceDN w:val="0"/>
        <w:adjustRightInd w:val="0"/>
        <w:snapToGrid w:val="0"/>
        <w:spacing w:line="440" w:lineRule="exact"/>
        <w:ind w:firstLine="420" w:firstLineChars="200"/>
        <w:rPr>
          <w:rFonts w:ascii="宋体" w:hAnsi="宋体" w:cs="宋体"/>
        </w:rPr>
      </w:pPr>
      <w:r>
        <w:rPr>
          <w:rFonts w:hint="eastAsia" w:ascii="宋体" w:hAnsi="宋体" w:cs="宋体"/>
        </w:rPr>
        <w:t>4.5 特定资格要求：1、投标人须具有医疗器械经营许可证，是在中华人民共和国境内注册的设备原制造厂商或原制造厂商授权的单位或具备相关设备维修能力的单位（提供证明文件）。2、须提供同品牌同型号或高于该品牌型号的维保服务（全保）业绩。</w:t>
      </w:r>
    </w:p>
    <w:p>
      <w:pPr>
        <w:autoSpaceDE w:val="0"/>
        <w:autoSpaceDN w:val="0"/>
        <w:adjustRightInd w:val="0"/>
        <w:snapToGrid w:val="0"/>
        <w:spacing w:line="440" w:lineRule="exact"/>
        <w:ind w:firstLine="420" w:firstLineChars="200"/>
        <w:rPr>
          <w:rFonts w:ascii="宋体" w:hAnsi="宋体" w:cs="宋体"/>
        </w:rPr>
      </w:pPr>
      <w:r>
        <w:rPr>
          <w:rFonts w:hint="eastAsia" w:ascii="宋体" w:hAnsi="宋体" w:cs="宋体"/>
        </w:rPr>
        <w:t>4.6 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widowControl/>
        <w:snapToGrid w:val="0"/>
        <w:spacing w:line="360" w:lineRule="auto"/>
        <w:ind w:firstLine="420"/>
        <w:jc w:val="left"/>
        <w:rPr>
          <w:rFonts w:ascii="宋体" w:hAnsi="宋体" w:cs="宋体"/>
          <w:kern w:val="0"/>
          <w:szCs w:val="21"/>
        </w:rPr>
      </w:pPr>
      <w:r>
        <w:rPr>
          <w:rFonts w:hint="eastAsia" w:ascii="宋体" w:hAnsi="宋体" w:cs="宋体"/>
          <w:b/>
          <w:bCs/>
          <w:kern w:val="0"/>
          <w:szCs w:val="21"/>
        </w:rPr>
        <w:t>5.投标费用</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不论投标结果如何，供应商均应自行承担所有与投标有关的全部费用。</w:t>
      </w:r>
    </w:p>
    <w:p>
      <w:pPr>
        <w:widowControl/>
        <w:snapToGrid w:val="0"/>
        <w:spacing w:line="360" w:lineRule="auto"/>
        <w:ind w:firstLine="420"/>
        <w:jc w:val="left"/>
        <w:rPr>
          <w:rFonts w:ascii="宋体" w:hAnsi="宋体" w:cs="宋体"/>
          <w:kern w:val="0"/>
          <w:szCs w:val="21"/>
        </w:rPr>
      </w:pPr>
      <w:r>
        <w:rPr>
          <w:rFonts w:hint="eastAsia" w:ascii="宋体" w:hAnsi="宋体" w:cs="宋体"/>
          <w:b/>
          <w:bCs/>
          <w:kern w:val="0"/>
          <w:szCs w:val="21"/>
        </w:rPr>
        <w:t>6.联合体投标：本项目不接受联合体投标。</w:t>
      </w:r>
    </w:p>
    <w:p>
      <w:pPr>
        <w:widowControl/>
        <w:snapToGrid w:val="0"/>
        <w:spacing w:line="360" w:lineRule="auto"/>
        <w:ind w:firstLine="420"/>
        <w:jc w:val="left"/>
        <w:rPr>
          <w:rFonts w:ascii="宋体" w:hAnsi="宋体" w:cs="宋体"/>
          <w:kern w:val="0"/>
          <w:szCs w:val="21"/>
        </w:rPr>
      </w:pPr>
      <w:r>
        <w:rPr>
          <w:rFonts w:hint="eastAsia" w:ascii="宋体" w:hAnsi="宋体" w:cs="宋体"/>
          <w:b/>
          <w:bCs/>
          <w:kern w:val="0"/>
          <w:szCs w:val="21"/>
        </w:rPr>
        <w:t>7.关联企业投标</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7.1 本采购文件所称关联企业,是指存在关联关系的企业。“关联关系”的界定适用《中华人民共和国公司法》第二百一十六条、《中华人民共和国政府采购法实施条例》第十八条之规定。</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7.3 为采购项目提供整体设计、规范编制或者项目管理、监理、检测等服务的供应商，不得再参加该采购项目的投标活动。</w:t>
      </w:r>
    </w:p>
    <w:p>
      <w:pPr>
        <w:widowControl/>
        <w:snapToGrid w:val="0"/>
        <w:spacing w:line="360" w:lineRule="auto"/>
        <w:ind w:firstLine="420"/>
        <w:jc w:val="left"/>
        <w:rPr>
          <w:rFonts w:ascii="宋体" w:hAnsi="宋体" w:cs="宋体"/>
          <w:kern w:val="0"/>
          <w:szCs w:val="21"/>
        </w:rPr>
      </w:pPr>
      <w:r>
        <w:rPr>
          <w:rFonts w:hint="eastAsia" w:ascii="宋体" w:hAnsi="宋体" w:cs="宋体"/>
          <w:b/>
          <w:bCs/>
          <w:kern w:val="0"/>
          <w:szCs w:val="21"/>
        </w:rPr>
        <w:t>8.转包与分包</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8.1本项目不允许采取转包方式履行合同。</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8.2本项目不允许采取分包方式履行合同。</w:t>
      </w:r>
    </w:p>
    <w:p>
      <w:pPr>
        <w:widowControl/>
        <w:snapToGrid w:val="0"/>
        <w:spacing w:line="360" w:lineRule="auto"/>
        <w:ind w:firstLine="420"/>
        <w:jc w:val="left"/>
        <w:rPr>
          <w:rFonts w:ascii="宋体" w:hAnsi="宋体" w:cs="宋体"/>
          <w:kern w:val="0"/>
          <w:szCs w:val="21"/>
        </w:rPr>
      </w:pPr>
      <w:r>
        <w:rPr>
          <w:rFonts w:hint="eastAsia" w:ascii="宋体" w:hAnsi="宋体" w:cs="宋体"/>
          <w:b/>
          <w:bCs/>
          <w:kern w:val="0"/>
          <w:szCs w:val="21"/>
        </w:rPr>
        <w:t>9.特别说明：</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9.1 供应商投标所使用的资格、信誉、荣誉、业绩与企业认证必须为本法人所拥有。</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9.2供应商代表只能接受一个供应商的委托参加投标。</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9.3《政府采购法》第二十二条第五款“参加政府采购活动前三年内，在经营活动中没有重大违法记录”，“重大违法记录”包括供应商或者其法定代表人、董事、监事、高级管理人员因经营活动中的违法行为受到行政处罚，但警告和罚款额在人民币3万元以下的行政处罚除外；供应商或其法定代表人、董事、监事、高级管理人员因经营活动中的违法行为受到刑事处罚。</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9.4供应商在投标活动中提供虚假材料或从事其他违法活动的,其投标无效，由相关部门查处。</w:t>
      </w:r>
    </w:p>
    <w:p>
      <w:pPr>
        <w:widowControl/>
        <w:snapToGrid w:val="0"/>
        <w:spacing w:line="360" w:lineRule="auto"/>
        <w:ind w:firstLine="420"/>
        <w:jc w:val="left"/>
        <w:rPr>
          <w:rFonts w:ascii="宋体" w:hAnsi="宋体" w:cs="宋体"/>
          <w:kern w:val="0"/>
          <w:szCs w:val="21"/>
        </w:rPr>
      </w:pPr>
      <w:r>
        <w:rPr>
          <w:rFonts w:hint="eastAsia" w:ascii="宋体" w:hAnsi="宋体" w:cs="宋体"/>
          <w:b/>
          <w:bCs/>
          <w:kern w:val="0"/>
          <w:szCs w:val="21"/>
        </w:rPr>
        <w:t>10.质疑和投诉</w:t>
      </w:r>
    </w:p>
    <w:p>
      <w:pPr>
        <w:widowControl/>
        <w:snapToGrid w:val="0"/>
        <w:spacing w:line="360" w:lineRule="auto"/>
        <w:ind w:firstLine="411" w:firstLineChars="196"/>
        <w:jc w:val="left"/>
        <w:rPr>
          <w:rFonts w:ascii="宋体" w:hAnsi="宋体" w:cs="宋体"/>
          <w:kern w:val="0"/>
          <w:szCs w:val="21"/>
        </w:rPr>
      </w:pPr>
      <w:r>
        <w:rPr>
          <w:rFonts w:hint="eastAsia" w:ascii="宋体" w:hAnsi="宋体" w:cs="宋体"/>
          <w:kern w:val="0"/>
          <w:szCs w:val="21"/>
        </w:rPr>
        <w:t>10.1 </w:t>
      </w:r>
      <w:r>
        <w:rPr>
          <w:rFonts w:hint="eastAsia" w:ascii="宋体" w:hAnsi="宋体" w:cs="宋体"/>
          <w:bCs/>
          <w:kern w:val="0"/>
          <w:szCs w:val="21"/>
        </w:rPr>
        <w:t>供应商认为采购文件使自己的合法权益受到损害的，</w:t>
      </w:r>
      <w:r>
        <w:rPr>
          <w:rFonts w:hint="eastAsia" w:ascii="宋体" w:hAnsi="宋体" w:cs="宋体"/>
          <w:kern w:val="0"/>
          <w:szCs w:val="21"/>
        </w:rPr>
        <w:t>应当在采购公告期限届满之日(或收到采购文件之日)起3个工作日之内向</w:t>
      </w:r>
      <w:r>
        <w:rPr>
          <w:rFonts w:hint="eastAsia" w:ascii="宋体" w:hAnsi="宋体" w:cs="宋体"/>
          <w:bCs/>
          <w:kern w:val="0"/>
          <w:szCs w:val="21"/>
        </w:rPr>
        <w:t>采购人提出质疑；供应商认为磋商过程和中标结果使自己的合法权益受到损害的，应当在知道或者应知其权益受到损害之日起3个工作日内提出质疑。</w:t>
      </w:r>
      <w:r>
        <w:rPr>
          <w:rFonts w:hint="eastAsia" w:ascii="宋体" w:hAnsi="宋体" w:cs="宋体"/>
          <w:kern w:val="0"/>
          <w:szCs w:val="21"/>
        </w:rPr>
        <w:t>逾期不再受理,</w:t>
      </w:r>
      <w:r>
        <w:rPr>
          <w:rFonts w:hint="eastAsia" w:ascii="宋体" w:hAnsi="宋体" w:cs="宋体"/>
          <w:bCs/>
          <w:kern w:val="0"/>
          <w:szCs w:val="21"/>
        </w:rPr>
        <w:t>供应商在法定质疑期内应一次性提出针对同一采购环节的质疑。</w:t>
      </w:r>
      <w:r>
        <w:rPr>
          <w:rFonts w:hint="eastAsia" w:ascii="宋体" w:hAnsi="宋体" w:cs="宋体"/>
          <w:kern w:val="0"/>
          <w:szCs w:val="21"/>
        </w:rPr>
        <w:t>供应商对</w:t>
      </w:r>
      <w:r>
        <w:rPr>
          <w:rFonts w:hint="eastAsia" w:ascii="宋体" w:hAnsi="宋体" w:cs="宋体"/>
          <w:bCs/>
          <w:kern w:val="0"/>
          <w:szCs w:val="21"/>
        </w:rPr>
        <w:t>采购人</w:t>
      </w:r>
      <w:r>
        <w:rPr>
          <w:rFonts w:hint="eastAsia" w:ascii="宋体" w:hAnsi="宋体" w:cs="宋体"/>
          <w:kern w:val="0"/>
          <w:szCs w:val="21"/>
        </w:rPr>
        <w:t>的质疑答复不满意,或</w:t>
      </w:r>
      <w:r>
        <w:rPr>
          <w:rFonts w:hint="eastAsia" w:ascii="宋体" w:hAnsi="宋体" w:cs="宋体"/>
          <w:bCs/>
          <w:kern w:val="0"/>
          <w:szCs w:val="21"/>
        </w:rPr>
        <w:t>采购人</w:t>
      </w:r>
      <w:r>
        <w:rPr>
          <w:rFonts w:hint="eastAsia" w:ascii="宋体" w:hAnsi="宋体" w:cs="宋体"/>
          <w:kern w:val="0"/>
          <w:szCs w:val="21"/>
        </w:rPr>
        <w:t>未在规定时间内作出答复的，可以在答复期满后15个工作日内向医院纪检部门投诉。</w:t>
      </w:r>
    </w:p>
    <w:p>
      <w:pPr>
        <w:widowControl/>
        <w:shd w:val="clear" w:color="auto" w:fill="FFFFFF"/>
        <w:snapToGrid w:val="0"/>
        <w:spacing w:line="360" w:lineRule="auto"/>
        <w:ind w:firstLine="480"/>
        <w:jc w:val="left"/>
        <w:rPr>
          <w:rFonts w:ascii="宋体" w:hAnsi="宋体" w:cs="宋体"/>
          <w:kern w:val="0"/>
          <w:szCs w:val="21"/>
        </w:rPr>
      </w:pPr>
      <w:r>
        <w:rPr>
          <w:rFonts w:hint="eastAsia" w:ascii="宋体" w:hAnsi="宋体" w:cs="宋体"/>
          <w:kern w:val="0"/>
          <w:szCs w:val="21"/>
        </w:rPr>
        <w:t>10.2 </w:t>
      </w:r>
      <w:r>
        <w:rPr>
          <w:rFonts w:hint="eastAsia" w:ascii="宋体" w:hAnsi="宋体" w:cs="宋体"/>
          <w:bCs/>
          <w:kern w:val="0"/>
          <w:szCs w:val="21"/>
        </w:rPr>
        <w:t>质疑、投诉应当采用书面形式，质疑书、投诉书均应明确阐述采购文件、磋商过程和中标结果中使自己合法权益受到损害的实质性内容，提供相关事实、依据和证据及其来源或线索，便于有关单位调查、答复和处理。</w:t>
      </w:r>
    </w:p>
    <w:p>
      <w:pPr>
        <w:widowControl/>
        <w:snapToGrid w:val="0"/>
        <w:spacing w:line="360" w:lineRule="auto"/>
        <w:ind w:firstLine="420"/>
        <w:jc w:val="left"/>
        <w:rPr>
          <w:rFonts w:ascii="宋体" w:hAnsi="宋体" w:cs="宋体"/>
          <w:kern w:val="0"/>
          <w:szCs w:val="21"/>
        </w:rPr>
      </w:pPr>
      <w:r>
        <w:rPr>
          <w:rFonts w:hint="eastAsia" w:ascii="宋体" w:hAnsi="宋体" w:cs="宋体"/>
          <w:b/>
          <w:bCs/>
          <w:kern w:val="0"/>
          <w:szCs w:val="21"/>
        </w:rPr>
        <w:t>11.供应商的风险</w:t>
      </w:r>
    </w:p>
    <w:p>
      <w:pPr>
        <w:widowControl/>
        <w:snapToGrid w:val="0"/>
        <w:spacing w:line="360" w:lineRule="auto"/>
        <w:ind w:firstLine="480"/>
        <w:jc w:val="left"/>
        <w:rPr>
          <w:rFonts w:ascii="宋体" w:hAnsi="宋体" w:cs="宋体"/>
          <w:kern w:val="0"/>
          <w:sz w:val="24"/>
        </w:rPr>
      </w:pPr>
      <w:r>
        <w:rPr>
          <w:rFonts w:hint="eastAsia" w:ascii="宋体" w:hAnsi="宋体" w:cs="宋体"/>
          <w:kern w:val="0"/>
          <w:szCs w:val="21"/>
        </w:rPr>
        <w:t>供应商没有按照采购文件要求提供全部资料，或者供应商没有对采购文件在各方面都作出实质性响应是供应商的风险，并可能导致其投标被拒绝。</w:t>
      </w:r>
    </w:p>
    <w:p>
      <w:pPr>
        <w:widowControl/>
        <w:snapToGrid w:val="0"/>
        <w:spacing w:line="360" w:lineRule="auto"/>
        <w:jc w:val="center"/>
        <w:rPr>
          <w:rFonts w:ascii="宋体" w:hAnsi="宋体" w:cs="宋体"/>
          <w:kern w:val="0"/>
          <w:sz w:val="24"/>
        </w:rPr>
      </w:pPr>
      <w:r>
        <w:rPr>
          <w:rFonts w:hint="eastAsia" w:ascii="黑体" w:hAnsi="宋体" w:eastAsia="黑体" w:cs="宋体"/>
          <w:b/>
          <w:bCs/>
          <w:kern w:val="0"/>
          <w:sz w:val="32"/>
          <w:szCs w:val="32"/>
        </w:rPr>
        <w:t>二、采购文件</w:t>
      </w:r>
    </w:p>
    <w:p>
      <w:pPr>
        <w:widowControl/>
        <w:snapToGrid w:val="0"/>
        <w:spacing w:line="360" w:lineRule="auto"/>
        <w:ind w:firstLine="417" w:firstLineChars="198"/>
        <w:rPr>
          <w:rFonts w:ascii="宋体" w:hAnsi="宋体" w:cs="宋体"/>
          <w:kern w:val="0"/>
          <w:szCs w:val="21"/>
        </w:rPr>
      </w:pPr>
      <w:r>
        <w:rPr>
          <w:rFonts w:hint="eastAsia" w:ascii="宋体" w:hAnsi="宋体" w:cs="宋体"/>
          <w:b/>
          <w:bCs/>
          <w:kern w:val="0"/>
          <w:szCs w:val="21"/>
        </w:rPr>
        <w:t>12.采购文件的构成。本采购文件由以下部分组成：</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12.1 采购公告</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12.2 采购需求</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12.3 供应商须知</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12.4 评标办法</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12.5 合同主要条款</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12.6 投标文件格式</w:t>
      </w:r>
    </w:p>
    <w:p>
      <w:pPr>
        <w:widowControl/>
        <w:snapToGrid w:val="0"/>
        <w:spacing w:line="360" w:lineRule="auto"/>
        <w:ind w:firstLine="417" w:firstLineChars="198"/>
        <w:rPr>
          <w:rFonts w:ascii="宋体" w:hAnsi="宋体" w:cs="宋体"/>
          <w:b/>
          <w:bCs/>
          <w:kern w:val="0"/>
          <w:szCs w:val="21"/>
        </w:rPr>
      </w:pPr>
      <w:r>
        <w:rPr>
          <w:rFonts w:hint="eastAsia" w:ascii="宋体" w:hAnsi="宋体" w:cs="宋体"/>
          <w:b/>
          <w:bCs/>
          <w:kern w:val="0"/>
          <w:szCs w:val="21"/>
        </w:rPr>
        <w:t>13.采购文件的澄清与修改</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13.1 采购人对已发出的采购文件进行必要澄清、修改或补充的，应当在采购文件要求提交投标文件截止时间3</w:t>
      </w:r>
      <w:r>
        <w:rPr>
          <w:rFonts w:hint="eastAsia" w:ascii="宋体" w:hAnsi="宋体" w:cs="宋体"/>
          <w:bCs/>
          <w:kern w:val="0"/>
          <w:szCs w:val="21"/>
        </w:rPr>
        <w:t>日</w:t>
      </w:r>
      <w:r>
        <w:rPr>
          <w:rFonts w:hint="eastAsia" w:ascii="宋体" w:hAnsi="宋体" w:cs="宋体"/>
          <w:kern w:val="0"/>
          <w:szCs w:val="21"/>
        </w:rPr>
        <w:t>前，在原采购公告发布相关媒体上发布更正公告或变更公告。采购文件公示期间对采购文件进行的澄清、修改或补充不受上述限制。</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13.2 采购文件澄清、修改或补充的内容为采购文件的组成部分。</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13.3 采购文件的澄清、修改或补充都应以法定形式发布。采购人未对采购文件进行的澄清、修改或补充无效，评标时不予认可。</w:t>
      </w:r>
    </w:p>
    <w:p>
      <w:pPr>
        <w:widowControl/>
        <w:snapToGrid w:val="0"/>
        <w:spacing w:line="360" w:lineRule="auto"/>
        <w:ind w:firstLine="480"/>
        <w:jc w:val="left"/>
        <w:rPr>
          <w:rFonts w:ascii="宋体" w:hAnsi="宋体" w:cs="宋体"/>
          <w:kern w:val="0"/>
          <w:sz w:val="24"/>
        </w:rPr>
      </w:pPr>
      <w:r>
        <w:rPr>
          <w:rFonts w:hint="eastAsia" w:ascii="宋体" w:hAnsi="宋体" w:cs="宋体"/>
          <w:kern w:val="0"/>
          <w:szCs w:val="21"/>
        </w:rPr>
        <w:t>13.4 </w:t>
      </w:r>
      <w:r>
        <w:rPr>
          <w:rFonts w:hint="eastAsia" w:ascii="宋体" w:hAnsi="宋体" w:cs="宋体"/>
          <w:bCs/>
          <w:kern w:val="0"/>
          <w:szCs w:val="21"/>
        </w:rPr>
        <w:t>采购人</w:t>
      </w:r>
      <w:r>
        <w:rPr>
          <w:rFonts w:hint="eastAsia" w:ascii="宋体" w:hAnsi="宋体" w:cs="宋体"/>
          <w:kern w:val="0"/>
          <w:szCs w:val="21"/>
        </w:rPr>
        <w:t>可以视招标具体情况延长投标截止时间和开标时间，但至少应当在采购文件要求提交投标文件的截止时间3</w:t>
      </w:r>
      <w:r>
        <w:rPr>
          <w:rFonts w:hint="eastAsia" w:ascii="宋体" w:hAnsi="宋体" w:cs="宋体"/>
          <w:bCs/>
          <w:kern w:val="0"/>
          <w:szCs w:val="21"/>
        </w:rPr>
        <w:t>日</w:t>
      </w:r>
      <w:r>
        <w:rPr>
          <w:rFonts w:hint="eastAsia" w:ascii="宋体" w:hAnsi="宋体" w:cs="宋体"/>
          <w:kern w:val="0"/>
          <w:szCs w:val="21"/>
        </w:rPr>
        <w:t>前，将变更时间通知所有潜在供应商。</w:t>
      </w:r>
    </w:p>
    <w:p>
      <w:pPr>
        <w:widowControl/>
        <w:snapToGrid w:val="0"/>
        <w:spacing w:line="360" w:lineRule="auto"/>
        <w:ind w:firstLine="2229" w:firstLineChars="694"/>
        <w:rPr>
          <w:rFonts w:ascii="宋体" w:hAnsi="宋体" w:cs="宋体"/>
          <w:kern w:val="0"/>
          <w:sz w:val="24"/>
        </w:rPr>
      </w:pPr>
      <w:r>
        <w:rPr>
          <w:rFonts w:hint="eastAsia" w:ascii="黑体" w:hAnsi="宋体" w:eastAsia="黑体" w:cs="宋体"/>
          <w:b/>
          <w:bCs/>
          <w:kern w:val="0"/>
          <w:sz w:val="32"/>
          <w:szCs w:val="32"/>
        </w:rPr>
        <w:t>三</w:t>
      </w:r>
      <w:r>
        <w:rPr>
          <w:rFonts w:hint="eastAsia" w:ascii="黑体" w:hAnsi="宋体" w:eastAsia="黑体" w:cs="宋体"/>
          <w:b/>
          <w:bCs/>
          <w:kern w:val="0"/>
          <w:sz w:val="32"/>
        </w:rPr>
        <w:t>、</w:t>
      </w:r>
      <w:r>
        <w:rPr>
          <w:rFonts w:hint="eastAsia" w:ascii="黑体" w:hAnsi="宋体" w:eastAsia="黑体" w:cs="宋体"/>
          <w:b/>
          <w:bCs/>
          <w:kern w:val="0"/>
          <w:sz w:val="32"/>
          <w:szCs w:val="32"/>
        </w:rPr>
        <w:t>投标文件的编制</w:t>
      </w:r>
    </w:p>
    <w:p>
      <w:pPr>
        <w:widowControl/>
        <w:snapToGrid w:val="0"/>
        <w:spacing w:line="360" w:lineRule="auto"/>
        <w:ind w:firstLine="417" w:firstLineChars="198"/>
        <w:rPr>
          <w:rFonts w:ascii="宋体" w:hAnsi="宋体" w:cs="宋体"/>
          <w:kern w:val="0"/>
          <w:szCs w:val="21"/>
        </w:rPr>
      </w:pPr>
      <w:r>
        <w:rPr>
          <w:rFonts w:hint="eastAsia" w:ascii="宋体" w:hAnsi="宋体" w:cs="宋体"/>
          <w:b/>
          <w:bCs/>
          <w:kern w:val="0"/>
          <w:szCs w:val="21"/>
        </w:rPr>
        <w:t>14.要求</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14.1 供应商应仔细阅读采购文件的所有内容，按照采购文件提供的格式编写投标文件，不得缺少或留空任何采购文件要求填写的表格或提交的资料。采购文件提供格式的按格式填列，未提供格式的可自行拟定。投标文件应对采购文件的要求作出实质性响应（包括供应商资格要求、技术要求、商务要求和投标文件格式中对投标的要求），供应商对所提供的全部资料的合法性、真实性负责。</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14.2 供应商应完整签署投标文件格式附件中《投标书》和《抵制商业贿赂承诺》，不得增减或修改内容。否则视为对采购文件未作出实质性响应。</w:t>
      </w:r>
    </w:p>
    <w:p>
      <w:pPr>
        <w:widowControl/>
        <w:snapToGrid w:val="0"/>
        <w:spacing w:line="360" w:lineRule="auto"/>
        <w:ind w:firstLine="417" w:firstLineChars="198"/>
        <w:rPr>
          <w:rFonts w:ascii="宋体" w:hAnsi="宋体" w:cs="宋体"/>
          <w:kern w:val="0"/>
          <w:szCs w:val="21"/>
        </w:rPr>
      </w:pPr>
      <w:r>
        <w:rPr>
          <w:rFonts w:hint="eastAsia" w:ascii="宋体" w:hAnsi="宋体" w:cs="宋体"/>
          <w:b/>
          <w:bCs/>
          <w:kern w:val="0"/>
          <w:szCs w:val="21"/>
        </w:rPr>
        <w:t>15.投标文件的语言和计量单位</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15.1投标文件以及供应商与采购人就有关投标事宜的所有来往函电均应使用简体中文书写。</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15.2 关于投标计量单位，采购文件已有明确规定的，使用采购文件规定的计量单位；采购文件没有规定的，应采用中华人民共和国法定计量单位。否则视为对采购文件未作出实质性响应。</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15.3 原版为外文的证书类文件，以及由外国人做出的本人签名、外国公司的名称或外国印章等可以是外文，但应当提供中文翻译文件并加盖供应商公章。必要时评标委员会可以要求供应商提供附有公证书的中文翻译文件或者与原版文件签章相一致的中文翻译文件。</w:t>
      </w:r>
    </w:p>
    <w:p>
      <w:pPr>
        <w:widowControl/>
        <w:snapToGrid w:val="0"/>
        <w:spacing w:line="360" w:lineRule="auto"/>
        <w:ind w:firstLine="417" w:firstLineChars="198"/>
        <w:rPr>
          <w:rFonts w:ascii="宋体" w:hAnsi="宋体" w:cs="宋体"/>
          <w:kern w:val="0"/>
          <w:szCs w:val="21"/>
        </w:rPr>
      </w:pPr>
      <w:r>
        <w:rPr>
          <w:rFonts w:hint="eastAsia" w:ascii="宋体" w:hAnsi="宋体" w:cs="宋体"/>
          <w:b/>
          <w:bCs/>
          <w:kern w:val="0"/>
          <w:szCs w:val="21"/>
        </w:rPr>
        <w:t>16.投标文件的组成</w:t>
      </w:r>
      <w:r>
        <w:rPr>
          <w:rFonts w:hint="eastAsia" w:ascii="宋体" w:hAnsi="宋体" w:cs="宋体"/>
          <w:kern w:val="0"/>
          <w:szCs w:val="21"/>
        </w:rPr>
        <w:t>。</w:t>
      </w:r>
      <w:r>
        <w:rPr>
          <w:rFonts w:hint="eastAsia" w:ascii="宋体" w:hAnsi="宋体" w:cs="宋体"/>
          <w:b/>
          <w:bCs/>
          <w:kern w:val="0"/>
          <w:szCs w:val="21"/>
        </w:rPr>
        <w:t>投标文件应包括下列部分：</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16.1、投标书及开标一览表</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16.2、报价明细表</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16.3、技术响应表</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16.4、商务响应表</w:t>
      </w:r>
    </w:p>
    <w:p>
      <w:pPr>
        <w:widowControl/>
        <w:snapToGrid w:val="0"/>
        <w:spacing w:line="360" w:lineRule="auto"/>
        <w:ind w:left="208" w:leftChars="99" w:firstLine="210" w:firstLineChars="100"/>
        <w:jc w:val="left"/>
        <w:rPr>
          <w:rFonts w:ascii="宋体" w:hAnsi="宋体" w:cs="宋体"/>
          <w:kern w:val="0"/>
          <w:szCs w:val="21"/>
        </w:rPr>
      </w:pPr>
      <w:r>
        <w:rPr>
          <w:rFonts w:hint="eastAsia" w:ascii="宋体" w:hAnsi="宋体" w:cs="宋体"/>
          <w:kern w:val="0"/>
          <w:szCs w:val="21"/>
        </w:rPr>
        <w:t>16.5、法定代表人身份证明</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16.6、法定代表人授权书</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16.7、证明文件</w:t>
      </w:r>
    </w:p>
    <w:p>
      <w:pPr>
        <w:widowControl/>
        <w:snapToGrid w:val="0"/>
        <w:spacing w:line="360" w:lineRule="auto"/>
        <w:ind w:firstLine="420"/>
        <w:jc w:val="left"/>
        <w:rPr>
          <w:rFonts w:ascii="宋体" w:hAnsi="宋体" w:cs="宋体"/>
          <w:kern w:val="0"/>
          <w:szCs w:val="21"/>
        </w:rPr>
      </w:pPr>
      <w:r>
        <w:rPr>
          <w:rFonts w:hint="eastAsia" w:ascii="宋体" w:hAnsi="宋体" w:cs="宋体"/>
          <w:kern w:val="0"/>
          <w:szCs w:val="21"/>
        </w:rPr>
        <w:t>16.8、抵制商业贿赂承诺</w:t>
      </w:r>
    </w:p>
    <w:p>
      <w:pPr>
        <w:pStyle w:val="31"/>
        <w:snapToGrid w:val="0"/>
        <w:spacing w:beforeAutospacing="0" w:afterAutospacing="0" w:line="360" w:lineRule="auto"/>
        <w:rPr>
          <w:sz w:val="21"/>
          <w:szCs w:val="21"/>
        </w:rPr>
      </w:pPr>
      <w:r>
        <w:rPr>
          <w:rFonts w:hint="eastAsia"/>
          <w:sz w:val="21"/>
          <w:szCs w:val="21"/>
        </w:rPr>
        <w:t>16.9、供应商认为有必要的其他资料</w:t>
      </w:r>
    </w:p>
    <w:p>
      <w:pPr>
        <w:widowControl/>
        <w:snapToGrid w:val="0"/>
        <w:spacing w:line="360" w:lineRule="auto"/>
        <w:ind w:firstLine="417" w:firstLineChars="198"/>
        <w:rPr>
          <w:rFonts w:ascii="宋体" w:hAnsi="宋体" w:cs="宋体"/>
          <w:b/>
          <w:kern w:val="0"/>
          <w:szCs w:val="21"/>
        </w:rPr>
      </w:pPr>
      <w:r>
        <w:rPr>
          <w:rFonts w:hint="eastAsia" w:ascii="宋体" w:hAnsi="宋体" w:cs="宋体"/>
          <w:b/>
          <w:kern w:val="0"/>
          <w:szCs w:val="21"/>
        </w:rPr>
        <w:t>17.投标有效期</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17.1 投标文件从采购公告所规定的投标截止期之后开始生效，在</w:t>
      </w:r>
      <w:r>
        <w:rPr>
          <w:rFonts w:hint="eastAsia" w:ascii="宋体" w:hAnsi="宋体" w:cs="宋体"/>
          <w:bCs/>
          <w:kern w:val="0"/>
          <w:szCs w:val="21"/>
        </w:rPr>
        <w:t>供应商须知前附表</w:t>
      </w:r>
      <w:r>
        <w:rPr>
          <w:rFonts w:hint="eastAsia" w:ascii="宋体" w:hAnsi="宋体" w:cs="宋体"/>
          <w:kern w:val="0"/>
          <w:szCs w:val="21"/>
        </w:rPr>
        <w:t>第16项所规定的期限内保持有效。有效期不足将导致其投标文件被拒绝。中标人的投标文件有效期至合同完全履行止。</w:t>
      </w:r>
    </w:p>
    <w:p>
      <w:pPr>
        <w:widowControl/>
        <w:snapToGrid w:val="0"/>
        <w:spacing w:line="360" w:lineRule="auto"/>
        <w:ind w:firstLine="480"/>
        <w:jc w:val="left"/>
        <w:rPr>
          <w:rFonts w:ascii="宋体" w:hAnsi="宋体" w:cs="宋体"/>
          <w:kern w:val="0"/>
          <w:szCs w:val="21"/>
        </w:rPr>
      </w:pPr>
      <w:r>
        <w:rPr>
          <w:rFonts w:hint="eastAsia" w:ascii="宋体" w:hAnsi="宋体" w:cs="宋体"/>
          <w:kern w:val="0"/>
          <w:szCs w:val="21"/>
        </w:rPr>
        <w:t>17.2特殊情况下采购人可于投标有效期满之前书面要求供应商同意延长有效期，供应商应在采购人规定的期限内以书面形式予以答复。供应商可以拒绝上述要求。供应商答复不明确或者逾期未答复的，均视为拒绝上述要求。对于接受该要求的供应商，既不要求也不允许其修改投标文件。</w:t>
      </w:r>
    </w:p>
    <w:p>
      <w:pPr>
        <w:widowControl/>
        <w:snapToGrid w:val="0"/>
        <w:spacing w:line="360" w:lineRule="auto"/>
        <w:ind w:firstLine="417" w:firstLineChars="198"/>
        <w:rPr>
          <w:rFonts w:ascii="宋体" w:hAnsi="宋体" w:cs="宋体"/>
          <w:kern w:val="0"/>
          <w:szCs w:val="21"/>
        </w:rPr>
      </w:pPr>
      <w:r>
        <w:rPr>
          <w:rFonts w:hint="eastAsia" w:ascii="宋体" w:hAnsi="宋体" w:cs="宋体"/>
          <w:b/>
          <w:bCs/>
          <w:kern w:val="0"/>
          <w:szCs w:val="21"/>
        </w:rPr>
        <w:t>18.投标报价</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18.1 所有投标报价均以人民币元为计算单位。</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18.2 供应商要按开标一览表的内容填写。</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 xml:space="preserve">18.3 </w:t>
      </w:r>
      <w:r>
        <w:rPr>
          <w:rFonts w:hint="eastAsia" w:ascii="宋体" w:hAnsi="宋体" w:cs="宋体"/>
          <w:spacing w:val="10"/>
          <w:kern w:val="0"/>
          <w:szCs w:val="21"/>
        </w:rPr>
        <w:t>供应商投报多标包的，应对每标包分别报价并分别填报开标一览表。</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18.4 开标一览表中标明的价格在政府采购合同执行过程中是固定不变的，供应商不得以任何理由予以变更。以可调整的价格提交的投标将被作为无效投标处理。</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18.5 采购人不接受可选择的投标报价。</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18.6 对于供应商在开标一览表和投标文件中列出的赠送条款，在评审时不得作为价格评分因素或者调整评标价格的依据。</w:t>
      </w:r>
    </w:p>
    <w:p>
      <w:pPr>
        <w:widowControl/>
        <w:snapToGrid w:val="0"/>
        <w:spacing w:line="360" w:lineRule="auto"/>
        <w:ind w:firstLine="417" w:firstLineChars="198"/>
        <w:rPr>
          <w:rFonts w:ascii="宋体" w:hAnsi="宋体" w:cs="宋体"/>
          <w:b/>
          <w:kern w:val="0"/>
          <w:szCs w:val="21"/>
        </w:rPr>
      </w:pPr>
      <w:r>
        <w:rPr>
          <w:rFonts w:hint="eastAsia" w:ascii="宋体" w:hAnsi="宋体" w:cs="宋体"/>
          <w:b/>
          <w:kern w:val="0"/>
          <w:szCs w:val="21"/>
        </w:rPr>
        <w:t>19.投标保证金（详见采购公告）</w:t>
      </w:r>
    </w:p>
    <w:p>
      <w:pPr>
        <w:widowControl/>
        <w:snapToGrid w:val="0"/>
        <w:spacing w:line="360" w:lineRule="auto"/>
        <w:ind w:firstLine="417" w:firstLineChars="198"/>
        <w:rPr>
          <w:rFonts w:ascii="宋体" w:hAnsi="宋体" w:cs="宋体"/>
          <w:b/>
          <w:kern w:val="0"/>
          <w:szCs w:val="21"/>
        </w:rPr>
      </w:pPr>
      <w:r>
        <w:rPr>
          <w:rFonts w:hint="eastAsia" w:ascii="宋体" w:hAnsi="宋体" w:cs="宋体"/>
          <w:b/>
          <w:kern w:val="0"/>
          <w:szCs w:val="21"/>
        </w:rPr>
        <w:t>20.投标文件的签署及其他规定</w:t>
      </w:r>
    </w:p>
    <w:p>
      <w:pPr>
        <w:widowControl/>
        <w:snapToGrid w:val="0"/>
        <w:spacing w:line="360" w:lineRule="auto"/>
        <w:ind w:firstLine="415" w:firstLineChars="198"/>
        <w:rPr>
          <w:rFonts w:ascii="宋体" w:hAnsi="宋体" w:cs="宋体"/>
          <w:color w:val="000000" w:themeColor="text1"/>
          <w:kern w:val="0"/>
          <w:szCs w:val="21"/>
        </w:rPr>
      </w:pPr>
      <w:r>
        <w:rPr>
          <w:rFonts w:hint="eastAsia" w:ascii="宋体" w:hAnsi="宋体" w:cs="宋体"/>
          <w:kern w:val="0"/>
          <w:szCs w:val="21"/>
        </w:rPr>
        <w:t>20.1投标文件应按第六章“投标文件格式”进行编写，如有必要，可以增加附页，作为投标文件的组成部分。其中，投标报价一览表在满足采购文件实质性要求的基础上，可以提出比采购文件要求更有利于采购人的承诺</w:t>
      </w:r>
      <w:r>
        <w:rPr>
          <w:rFonts w:hint="eastAsia" w:ascii="宋体" w:hAnsi="宋体" w:cs="宋体"/>
          <w:color w:val="000000" w:themeColor="text1"/>
          <w:kern w:val="0"/>
          <w:szCs w:val="21"/>
        </w:rPr>
        <w:t>。</w:t>
      </w:r>
    </w:p>
    <w:p>
      <w:pPr>
        <w:widowControl/>
        <w:snapToGrid w:val="0"/>
        <w:spacing w:line="360" w:lineRule="auto"/>
        <w:ind w:firstLine="415" w:firstLineChars="198"/>
        <w:rPr>
          <w:rFonts w:ascii="宋体" w:hAnsi="宋体" w:cs="宋体"/>
          <w:kern w:val="0"/>
          <w:szCs w:val="21"/>
        </w:rPr>
      </w:pPr>
      <w:r>
        <w:rPr>
          <w:rFonts w:hint="eastAsia" w:ascii="宋体" w:hAnsi="宋体" w:cs="宋体"/>
          <w:color w:val="000000" w:themeColor="text1"/>
          <w:kern w:val="0"/>
          <w:szCs w:val="21"/>
        </w:rPr>
        <w:t>20.2 投标文件应当对采购文件有关服务期、投标有效期、服务要求、技术标准和要求、</w:t>
      </w:r>
      <w:r>
        <w:rPr>
          <w:rFonts w:hint="eastAsia" w:ascii="宋体" w:hAnsi="宋体" w:cs="宋体"/>
          <w:kern w:val="0"/>
          <w:szCs w:val="21"/>
        </w:rPr>
        <w:t>磋商范围等实质性内容作出响应。</w:t>
      </w:r>
    </w:p>
    <w:p>
      <w:pPr>
        <w:widowControl/>
        <w:snapToGrid w:val="0"/>
        <w:spacing w:line="360" w:lineRule="auto"/>
        <w:ind w:firstLine="415" w:firstLineChars="198"/>
        <w:rPr>
          <w:rFonts w:ascii="宋体" w:hAnsi="宋体" w:cs="宋体"/>
          <w:kern w:val="0"/>
          <w:szCs w:val="21"/>
        </w:rPr>
      </w:pPr>
      <w:r>
        <w:rPr>
          <w:rFonts w:hint="eastAsia" w:ascii="宋体" w:hAnsi="宋体" w:cs="宋体"/>
          <w:kern w:val="0"/>
          <w:szCs w:val="21"/>
        </w:rPr>
        <w:t>20.3投标文件应用不褪色的材料书写或打印，并由供应商的法定代表人盖章或盖单位公章；投标文件应尽量避免涂改、行间插字或删除，如果出现上述情况，改动之处应加盖单位公章或由供应商的法定代表人盖章确认。签字或盖章的具体要求见供应商须知前附表。</w:t>
      </w:r>
    </w:p>
    <w:p>
      <w:pPr>
        <w:widowControl/>
        <w:snapToGrid w:val="0"/>
        <w:spacing w:line="360" w:lineRule="auto"/>
        <w:ind w:firstLine="415" w:firstLineChars="198"/>
        <w:rPr>
          <w:rFonts w:ascii="宋体" w:hAnsi="宋体" w:cs="宋体"/>
          <w:kern w:val="0"/>
          <w:szCs w:val="21"/>
        </w:rPr>
      </w:pPr>
      <w:r>
        <w:rPr>
          <w:rFonts w:hint="eastAsia" w:ascii="宋体" w:hAnsi="宋体" w:cs="宋体"/>
          <w:kern w:val="0"/>
          <w:szCs w:val="21"/>
        </w:rPr>
        <w:t>20.4投标文件份数见供应商须知前附表。投标文件正本和副本的封面上应清楚地标记“正本”或“副本”的字样。</w:t>
      </w:r>
    </w:p>
    <w:p>
      <w:pPr>
        <w:widowControl/>
        <w:snapToGrid w:val="0"/>
        <w:spacing w:line="360" w:lineRule="auto"/>
        <w:ind w:firstLine="415" w:firstLineChars="198"/>
        <w:rPr>
          <w:rFonts w:ascii="宋体" w:hAnsi="宋体" w:cs="宋体"/>
          <w:kern w:val="0"/>
          <w:szCs w:val="21"/>
        </w:rPr>
      </w:pPr>
      <w:r>
        <w:rPr>
          <w:rFonts w:hint="eastAsia" w:ascii="宋体" w:hAnsi="宋体" w:cs="宋体"/>
          <w:kern w:val="0"/>
          <w:szCs w:val="21"/>
        </w:rPr>
        <w:t>20.5投标文件的具体装订要求见供应商须知前附表规定。</w:t>
      </w:r>
    </w:p>
    <w:p>
      <w:pPr>
        <w:widowControl/>
        <w:snapToGrid w:val="0"/>
        <w:spacing w:line="360" w:lineRule="auto"/>
        <w:ind w:firstLine="2554" w:firstLineChars="795"/>
        <w:jc w:val="left"/>
        <w:rPr>
          <w:rFonts w:ascii="黑体" w:hAnsi="宋体" w:eastAsia="黑体" w:cs="宋体"/>
          <w:b/>
          <w:kern w:val="0"/>
          <w:sz w:val="32"/>
          <w:szCs w:val="32"/>
        </w:rPr>
      </w:pPr>
      <w:r>
        <w:rPr>
          <w:rFonts w:hint="eastAsia" w:ascii="黑体" w:hAnsi="宋体" w:eastAsia="黑体" w:cs="宋体"/>
          <w:b/>
          <w:kern w:val="0"/>
          <w:sz w:val="32"/>
          <w:szCs w:val="32"/>
        </w:rPr>
        <w:t>四、投标文件的递交</w:t>
      </w:r>
    </w:p>
    <w:p>
      <w:pPr>
        <w:widowControl/>
        <w:snapToGrid w:val="0"/>
        <w:spacing w:line="360" w:lineRule="auto"/>
        <w:ind w:firstLine="417" w:firstLineChars="198"/>
        <w:rPr>
          <w:rFonts w:ascii="宋体" w:hAnsi="宋体" w:cs="宋体"/>
          <w:b/>
          <w:kern w:val="0"/>
          <w:szCs w:val="21"/>
        </w:rPr>
      </w:pPr>
      <w:r>
        <w:rPr>
          <w:rFonts w:hint="eastAsia" w:ascii="宋体" w:hAnsi="宋体" w:cs="宋体"/>
          <w:b/>
          <w:kern w:val="0"/>
          <w:szCs w:val="21"/>
        </w:rPr>
        <w:t>21. 投标文件的密封、标记</w:t>
      </w:r>
    </w:p>
    <w:p>
      <w:pPr>
        <w:spacing w:line="360" w:lineRule="auto"/>
        <w:ind w:firstLine="424" w:firstLineChars="202"/>
        <w:rPr>
          <w:rFonts w:ascii="宋体" w:hAnsi="宋体" w:cs="宋体"/>
          <w:kern w:val="0"/>
          <w:szCs w:val="21"/>
        </w:rPr>
      </w:pPr>
      <w:r>
        <w:rPr>
          <w:rFonts w:hint="eastAsia" w:ascii="宋体" w:hAnsi="宋体" w:cs="宋体"/>
          <w:kern w:val="0"/>
          <w:szCs w:val="21"/>
        </w:rPr>
        <w:t>21.1</w:t>
      </w:r>
      <w:r>
        <w:t>响应文件应密封包装，并在封套的封口处加盖供应商单位章或由供应商的法定代表人（单位负责人）或其授权的代理人签字。</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21.2 投标文件的封套上应清楚地标记“正本”或“副本”字样，封套上应写明的其他内容见供应商须知前附表。</w:t>
      </w:r>
    </w:p>
    <w:p>
      <w:pPr>
        <w:widowControl/>
        <w:snapToGrid w:val="0"/>
        <w:spacing w:line="360" w:lineRule="auto"/>
        <w:ind w:firstLine="420" w:firstLineChars="200"/>
        <w:jc w:val="left"/>
      </w:pPr>
      <w:r>
        <w:rPr>
          <w:rFonts w:hint="eastAsia"/>
        </w:rPr>
        <w:t>21.3 未按本章第21.1项或第21.2项要求密封和加写标记的投标文件，采购人不予受理。</w:t>
      </w:r>
    </w:p>
    <w:p>
      <w:pPr>
        <w:widowControl/>
        <w:snapToGrid w:val="0"/>
        <w:spacing w:line="360" w:lineRule="auto"/>
        <w:ind w:firstLine="417" w:firstLineChars="198"/>
        <w:rPr>
          <w:rFonts w:ascii="宋体" w:hAnsi="宋体" w:cs="宋体"/>
          <w:b/>
          <w:kern w:val="0"/>
          <w:szCs w:val="21"/>
        </w:rPr>
      </w:pPr>
      <w:r>
        <w:rPr>
          <w:rFonts w:hint="eastAsia" w:ascii="宋体" w:hAnsi="宋体" w:cs="宋体"/>
          <w:b/>
          <w:kern w:val="0"/>
          <w:szCs w:val="21"/>
        </w:rPr>
        <w:t>22. 投标文件的递交</w:t>
      </w:r>
    </w:p>
    <w:p>
      <w:pPr>
        <w:autoSpaceDE w:val="0"/>
        <w:autoSpaceDN w:val="0"/>
        <w:adjustRightInd w:val="0"/>
        <w:snapToGrid w:val="0"/>
        <w:spacing w:line="360" w:lineRule="auto"/>
        <w:ind w:right="-34" w:rightChars="-16" w:firstLine="420" w:firstLineChars="200"/>
        <w:jc w:val="left"/>
        <w:rPr>
          <w:rFonts w:ascii="宋体" w:hAnsi="宋体" w:cs="宋体"/>
          <w:kern w:val="0"/>
          <w:szCs w:val="21"/>
        </w:rPr>
      </w:pPr>
      <w:r>
        <w:rPr>
          <w:rFonts w:hint="eastAsia" w:ascii="宋体" w:hAnsi="宋体" w:cs="宋体"/>
          <w:kern w:val="0"/>
          <w:szCs w:val="21"/>
        </w:rPr>
        <w:t>22.1 供应商应在规定的投标截止时间前递交投标文件。</w:t>
      </w:r>
    </w:p>
    <w:p>
      <w:pPr>
        <w:autoSpaceDE w:val="0"/>
        <w:autoSpaceDN w:val="0"/>
        <w:adjustRightInd w:val="0"/>
        <w:snapToGrid w:val="0"/>
        <w:spacing w:line="360" w:lineRule="auto"/>
        <w:ind w:right="-34" w:rightChars="-16" w:firstLine="420" w:firstLineChars="200"/>
        <w:jc w:val="left"/>
        <w:rPr>
          <w:rFonts w:ascii="宋体" w:hAnsi="宋体" w:cs="宋体"/>
          <w:kern w:val="0"/>
          <w:szCs w:val="21"/>
        </w:rPr>
      </w:pPr>
      <w:r>
        <w:rPr>
          <w:rFonts w:hint="eastAsia" w:ascii="宋体" w:hAnsi="宋体" w:cs="宋体"/>
          <w:kern w:val="0"/>
          <w:szCs w:val="21"/>
        </w:rPr>
        <w:t>22.2 供应商递交投标文件的地点：见供应商须知前附表。</w:t>
      </w:r>
    </w:p>
    <w:p>
      <w:pPr>
        <w:autoSpaceDE w:val="0"/>
        <w:autoSpaceDN w:val="0"/>
        <w:adjustRightInd w:val="0"/>
        <w:snapToGrid w:val="0"/>
        <w:spacing w:line="360" w:lineRule="auto"/>
        <w:ind w:right="-34" w:rightChars="-16" w:firstLine="420" w:firstLineChars="200"/>
        <w:jc w:val="left"/>
        <w:rPr>
          <w:rFonts w:ascii="宋体" w:hAnsi="宋体" w:cs="宋体"/>
          <w:kern w:val="0"/>
          <w:szCs w:val="21"/>
        </w:rPr>
      </w:pPr>
      <w:r>
        <w:rPr>
          <w:rFonts w:hint="eastAsia" w:ascii="宋体" w:hAnsi="宋体" w:cs="宋体"/>
          <w:kern w:val="0"/>
          <w:szCs w:val="21"/>
        </w:rPr>
        <w:t>22.3 除供应商须知前附表另有规定外，供应商所递交的投标文件不予退还。</w:t>
      </w:r>
    </w:p>
    <w:p>
      <w:pPr>
        <w:autoSpaceDE w:val="0"/>
        <w:autoSpaceDN w:val="0"/>
        <w:adjustRightInd w:val="0"/>
        <w:snapToGrid w:val="0"/>
        <w:spacing w:line="360" w:lineRule="auto"/>
        <w:ind w:right="-34" w:rightChars="-16" w:firstLine="420" w:firstLineChars="200"/>
        <w:jc w:val="left"/>
        <w:rPr>
          <w:rFonts w:ascii="宋体" w:hAnsi="宋体" w:cs="宋体"/>
          <w:kern w:val="0"/>
          <w:szCs w:val="21"/>
        </w:rPr>
      </w:pPr>
      <w:r>
        <w:rPr>
          <w:rFonts w:hint="eastAsia" w:ascii="宋体" w:hAnsi="宋体" w:cs="宋体"/>
          <w:kern w:val="0"/>
          <w:szCs w:val="21"/>
        </w:rPr>
        <w:t>22.4 逾期送达的或者未送达指定地点的投标文件，采购人不予受理。</w:t>
      </w:r>
    </w:p>
    <w:p>
      <w:pPr>
        <w:widowControl/>
        <w:snapToGrid w:val="0"/>
        <w:spacing w:line="360" w:lineRule="auto"/>
        <w:ind w:firstLine="417" w:firstLineChars="198"/>
        <w:rPr>
          <w:rFonts w:ascii="宋体" w:hAnsi="宋体" w:cs="宋体"/>
          <w:b/>
          <w:kern w:val="0"/>
          <w:szCs w:val="21"/>
        </w:rPr>
      </w:pPr>
      <w:r>
        <w:rPr>
          <w:rFonts w:hint="eastAsia" w:ascii="宋体" w:hAnsi="宋体" w:cs="宋体"/>
          <w:b/>
          <w:kern w:val="0"/>
          <w:szCs w:val="21"/>
        </w:rPr>
        <w:t>23. 投标文件的修改和撤回</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23.1 供应商在投标截止时间前，可以对所提交的投标文件进行补充、修改或者撤回，并书面通知采购人。补充、修改的内容和撤回通知应当按本须知要求签署、盖章、密封，并作为投标文件的组成部分。</w:t>
      </w:r>
    </w:p>
    <w:p>
      <w:pPr>
        <w:widowControl/>
        <w:snapToGrid w:val="0"/>
        <w:spacing w:line="360" w:lineRule="auto"/>
        <w:ind w:firstLine="420" w:firstLineChars="200"/>
        <w:jc w:val="left"/>
        <w:rPr>
          <w:rFonts w:ascii="宋体" w:hAnsi="宋体" w:cs="宋体"/>
          <w:kern w:val="0"/>
          <w:sz w:val="24"/>
        </w:rPr>
      </w:pPr>
      <w:r>
        <w:rPr>
          <w:rFonts w:hint="eastAsia" w:ascii="宋体" w:hAnsi="宋体" w:cs="宋体"/>
          <w:kern w:val="0"/>
          <w:szCs w:val="21"/>
        </w:rPr>
        <w:t>23.2 供应商在投标截止期后不得修改、撤回投标文件。供应商在投标截止期后修改投标文件的，其投标将被拒绝。</w:t>
      </w:r>
    </w:p>
    <w:p>
      <w:pPr>
        <w:widowControl/>
        <w:snapToGrid w:val="0"/>
        <w:spacing w:line="360" w:lineRule="auto"/>
        <w:jc w:val="center"/>
        <w:outlineLvl w:val="1"/>
        <w:rPr>
          <w:rFonts w:ascii="宋体" w:hAnsi="宋体" w:cs="宋体"/>
          <w:kern w:val="0"/>
          <w:sz w:val="24"/>
        </w:rPr>
      </w:pPr>
      <w:r>
        <w:rPr>
          <w:rFonts w:hint="eastAsia" w:ascii="黑体" w:hAnsi="宋体" w:eastAsia="黑体" w:cs="宋体"/>
          <w:b/>
          <w:bCs/>
          <w:kern w:val="0"/>
          <w:sz w:val="32"/>
          <w:szCs w:val="32"/>
        </w:rPr>
        <w:t>五</w:t>
      </w:r>
      <w:r>
        <w:rPr>
          <w:rFonts w:hint="eastAsia" w:ascii="黑体" w:hAnsi="宋体" w:eastAsia="黑体" w:cs="宋体"/>
          <w:b/>
          <w:bCs/>
          <w:kern w:val="0"/>
          <w:sz w:val="32"/>
        </w:rPr>
        <w:t>、</w:t>
      </w:r>
      <w:r>
        <w:rPr>
          <w:rFonts w:hint="eastAsia" w:ascii="黑体" w:hAnsi="宋体" w:eastAsia="黑体" w:cs="宋体"/>
          <w:b/>
          <w:bCs/>
          <w:kern w:val="0"/>
          <w:sz w:val="32"/>
          <w:szCs w:val="32"/>
        </w:rPr>
        <w:t>评标</w:t>
      </w:r>
    </w:p>
    <w:p>
      <w:pPr>
        <w:widowControl/>
        <w:snapToGrid w:val="0"/>
        <w:spacing w:line="360" w:lineRule="auto"/>
        <w:ind w:firstLine="422" w:firstLineChars="200"/>
        <w:jc w:val="left"/>
        <w:rPr>
          <w:rFonts w:ascii="宋体" w:hAnsi="宋体" w:cs="宋体"/>
          <w:kern w:val="0"/>
          <w:szCs w:val="21"/>
        </w:rPr>
      </w:pPr>
      <w:r>
        <w:rPr>
          <w:rFonts w:hint="eastAsia" w:ascii="宋体" w:hAnsi="宋体" w:cs="宋体"/>
          <w:b/>
          <w:bCs/>
          <w:kern w:val="0"/>
          <w:szCs w:val="21"/>
        </w:rPr>
        <w:t>24. 组建评标委员会</w:t>
      </w:r>
    </w:p>
    <w:p>
      <w:pPr>
        <w:snapToGrid w:val="0"/>
        <w:spacing w:line="360" w:lineRule="auto"/>
        <w:ind w:firstLine="420" w:firstLineChars="200"/>
        <w:rPr>
          <w:rFonts w:ascii="宋体" w:hAnsi="宋体" w:cs="宋体"/>
          <w:kern w:val="0"/>
          <w:szCs w:val="21"/>
        </w:rPr>
      </w:pPr>
      <w:r>
        <w:rPr>
          <w:rFonts w:hint="eastAsia" w:ascii="宋体" w:hAnsi="宋体" w:cs="宋体"/>
          <w:kern w:val="0"/>
          <w:szCs w:val="21"/>
        </w:rPr>
        <w:t>24.1 评标委员会由采购人代表和评审专家组成。成员由3人以上单数组成。</w:t>
      </w:r>
      <w:r>
        <w:rPr>
          <w:rFonts w:hint="eastAsia" w:ascii="宋体" w:hAnsi="宋体" w:cs="宋体"/>
          <w:szCs w:val="21"/>
        </w:rPr>
        <w:t>在开标后由评标委员会对投标文件进行审查、质疑、评估和比较，并做合理的建议。</w:t>
      </w:r>
    </w:p>
    <w:p>
      <w:pPr>
        <w:widowControl/>
        <w:snapToGrid w:val="0"/>
        <w:spacing w:line="360" w:lineRule="auto"/>
        <w:ind w:firstLine="420" w:firstLineChars="200"/>
        <w:jc w:val="left"/>
        <w:rPr>
          <w:rFonts w:ascii="宋体" w:hAnsi="宋体" w:cs="宋体"/>
          <w:szCs w:val="21"/>
        </w:rPr>
      </w:pPr>
      <w:r>
        <w:rPr>
          <w:rFonts w:hint="eastAsia" w:ascii="宋体" w:hAnsi="宋体" w:cs="宋体"/>
          <w:kern w:val="0"/>
          <w:szCs w:val="21"/>
        </w:rPr>
        <w:t>24.2评标委员会成员要依法独立评审，并对评审意见承担个人责任。</w:t>
      </w:r>
      <w:r>
        <w:rPr>
          <w:rFonts w:hint="eastAsia" w:ascii="宋体" w:hAnsi="宋体" w:cs="宋体"/>
          <w:szCs w:val="21"/>
        </w:rPr>
        <w:t>评标委员会成员对需要共同认定的事项存在争议的，按照少数服从多数的原则</w:t>
      </w:r>
      <w:r>
        <w:rPr>
          <w:rFonts w:hint="eastAsia" w:ascii="宋体" w:hAnsi="宋体" w:cs="宋体"/>
          <w:kern w:val="0"/>
          <w:szCs w:val="21"/>
        </w:rPr>
        <w:t>做</w:t>
      </w:r>
      <w:r>
        <w:rPr>
          <w:rFonts w:hint="eastAsia" w:ascii="宋体" w:hAnsi="宋体" w:cs="宋体"/>
          <w:szCs w:val="21"/>
        </w:rPr>
        <w:t>出结论。持不同意见的评标委员会成员应当在评标报告上签署不同意见</w:t>
      </w:r>
      <w:r>
        <w:rPr>
          <w:rFonts w:hint="eastAsia" w:ascii="宋体" w:hAnsi="宋体" w:cs="宋体"/>
          <w:kern w:val="0"/>
          <w:szCs w:val="21"/>
        </w:rPr>
        <w:t>并说明</w:t>
      </w:r>
      <w:r>
        <w:rPr>
          <w:rFonts w:hint="eastAsia" w:ascii="宋体" w:hAnsi="宋体" w:cs="宋体"/>
          <w:szCs w:val="21"/>
        </w:rPr>
        <w:t>理由，否则视为同意。</w:t>
      </w:r>
    </w:p>
    <w:p>
      <w:pPr>
        <w:widowControl/>
        <w:snapToGrid w:val="0"/>
        <w:spacing w:line="360" w:lineRule="auto"/>
        <w:ind w:firstLine="422" w:firstLineChars="200"/>
        <w:jc w:val="left"/>
        <w:rPr>
          <w:rFonts w:ascii="宋体" w:hAnsi="宋体" w:cs="宋体"/>
          <w:b/>
          <w:bCs/>
          <w:szCs w:val="21"/>
        </w:rPr>
      </w:pPr>
      <w:r>
        <w:rPr>
          <w:rFonts w:hint="eastAsia" w:ascii="宋体" w:hAnsi="宋体" w:cs="宋体"/>
          <w:b/>
          <w:bCs/>
          <w:szCs w:val="21"/>
        </w:rPr>
        <w:t>25. 投标文件的初审</w:t>
      </w:r>
    </w:p>
    <w:p>
      <w:pPr>
        <w:pStyle w:val="28"/>
        <w:widowControl/>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25.1对所有供应商的评估，都采用相同的程序和标准。评标过程将严格按照采购文件的要求和条件进行。</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25.2 评标委员会将对投标文件进行检查，以确定投标文件是否完整、有无计算上的错误、文件是否已正确签署等。</w:t>
      </w:r>
    </w:p>
    <w:p>
      <w:pPr>
        <w:widowControl/>
        <w:snapToGrid w:val="0"/>
        <w:spacing w:line="360" w:lineRule="auto"/>
        <w:ind w:firstLine="420" w:firstLineChars="200"/>
        <w:jc w:val="left"/>
        <w:rPr>
          <w:rFonts w:ascii="宋体" w:hAnsi="宋体" w:cs="宋体"/>
          <w:kern w:val="0"/>
          <w:szCs w:val="21"/>
        </w:rPr>
      </w:pPr>
      <w:r>
        <w:rPr>
          <w:rFonts w:ascii="宋体" w:hAnsi="宋体" w:cs="宋体"/>
          <w:kern w:val="0"/>
          <w:szCs w:val="21"/>
        </w:rPr>
        <w:t>2</w:t>
      </w:r>
      <w:r>
        <w:rPr>
          <w:rFonts w:hint="eastAsia" w:ascii="宋体" w:hAnsi="宋体" w:cs="宋体"/>
          <w:kern w:val="0"/>
          <w:szCs w:val="21"/>
        </w:rPr>
        <w:t>5</w:t>
      </w:r>
      <w:r>
        <w:rPr>
          <w:rFonts w:ascii="宋体" w:hAnsi="宋体" w:cs="宋体"/>
          <w:kern w:val="0"/>
          <w:szCs w:val="21"/>
        </w:rPr>
        <w:t>.</w:t>
      </w:r>
      <w:r>
        <w:rPr>
          <w:rFonts w:hint="eastAsia" w:ascii="宋体" w:hAnsi="宋体" w:cs="宋体"/>
          <w:kern w:val="0"/>
          <w:szCs w:val="21"/>
        </w:rPr>
        <w:t>3</w:t>
      </w:r>
      <w:r>
        <w:rPr>
          <w:rFonts w:ascii="宋体" w:hAnsi="宋体" w:cs="宋体"/>
          <w:kern w:val="0"/>
          <w:szCs w:val="21"/>
        </w:rPr>
        <w:t> </w:t>
      </w:r>
      <w:r>
        <w:rPr>
          <w:rFonts w:hint="eastAsia"/>
          <w:kern w:val="0"/>
          <w:szCs w:val="21"/>
        </w:rPr>
        <w:t>投标文件报价出现前后不一致的，除采购文件另有规定外，</w:t>
      </w:r>
      <w:r>
        <w:rPr>
          <w:rFonts w:hint="eastAsia" w:cs="宋体"/>
          <w:kern w:val="0"/>
          <w:szCs w:val="21"/>
        </w:rPr>
        <w:t>修正错误的原则如下：</w:t>
      </w:r>
    </w:p>
    <w:p>
      <w:pPr>
        <w:pStyle w:val="28"/>
        <w:widowControl/>
        <w:shd w:val="clear" w:color="auto" w:fill="FFFFFF"/>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25.3.1</w:t>
      </w:r>
      <w:r>
        <w:rPr>
          <w:rFonts w:hint="eastAsia" w:ascii="宋体" w:hAnsi="宋体" w:cs="宋体"/>
          <w:sz w:val="21"/>
          <w:szCs w:val="21"/>
          <w:shd w:val="clear" w:color="auto" w:fill="FFFFFF"/>
        </w:rPr>
        <w:t>投标文件开标一览表（报价表）内容与投标文件中相应内容不一致的，以开标一览表（报价表）为准；</w:t>
      </w:r>
    </w:p>
    <w:p>
      <w:pPr>
        <w:pStyle w:val="28"/>
        <w:widowControl/>
        <w:shd w:val="clear" w:color="auto" w:fill="FFFFFF"/>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25.3.2</w:t>
      </w:r>
      <w:r>
        <w:rPr>
          <w:rFonts w:hint="eastAsia" w:ascii="宋体" w:hAnsi="宋体" w:cs="宋体"/>
          <w:sz w:val="21"/>
          <w:szCs w:val="21"/>
          <w:shd w:val="clear" w:color="auto" w:fill="FFFFFF"/>
        </w:rPr>
        <w:t>大写金额</w:t>
      </w:r>
      <w:r>
        <w:rPr>
          <w:rFonts w:hint="eastAsia" w:ascii="宋体" w:hAnsi="宋体" w:cs="宋体"/>
          <w:sz w:val="21"/>
          <w:szCs w:val="21"/>
        </w:rPr>
        <w:t>与</w:t>
      </w:r>
      <w:r>
        <w:rPr>
          <w:rFonts w:hint="eastAsia" w:ascii="宋体" w:hAnsi="宋体" w:cs="宋体"/>
          <w:sz w:val="21"/>
          <w:szCs w:val="21"/>
          <w:shd w:val="clear" w:color="auto" w:fill="FFFFFF"/>
        </w:rPr>
        <w:t>小写金额不一致的，以大写金额为准；</w:t>
      </w:r>
    </w:p>
    <w:p>
      <w:pPr>
        <w:pStyle w:val="28"/>
        <w:widowControl/>
        <w:shd w:val="clear" w:color="auto" w:fill="FFFFFF"/>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25.3.3</w:t>
      </w:r>
      <w:r>
        <w:rPr>
          <w:rFonts w:hint="eastAsia" w:ascii="宋体" w:hAnsi="宋体" w:cs="宋体"/>
          <w:sz w:val="21"/>
          <w:szCs w:val="21"/>
          <w:shd w:val="clear" w:color="auto" w:fill="FFFFFF"/>
        </w:rPr>
        <w:t>单价金额小数点或者百分比有明显错位的，以开标一览表的总价为准，并修改单价；</w:t>
      </w:r>
    </w:p>
    <w:p>
      <w:pPr>
        <w:pStyle w:val="28"/>
        <w:widowControl/>
        <w:shd w:val="clear" w:color="auto" w:fill="FFFFFF"/>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25.3.4</w:t>
      </w:r>
      <w:r>
        <w:rPr>
          <w:rFonts w:hint="eastAsia" w:ascii="宋体" w:hAnsi="宋体" w:cs="宋体"/>
          <w:sz w:val="21"/>
          <w:szCs w:val="21"/>
          <w:shd w:val="clear" w:color="auto" w:fill="FFFFFF"/>
        </w:rPr>
        <w:t>总价金额与按单价汇总金额不一致的，以单价金额计算结果为准。</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25.3.5 对不同文字文本投标文件的解释发生异议的，以中文文本为准。</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25.3.6 同时出现两种以上不一致的，按照前款规定的顺序修正。修正后的报价按照财政部87号令第五十一条第二款的规定经供应商确认后产生约束力，供应商不确认的，其投标无效。</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25.4 资格性检查和符合性检查。</w:t>
      </w:r>
    </w:p>
    <w:p>
      <w:pPr>
        <w:widowControl/>
        <w:tabs>
          <w:tab w:val="left" w:pos="0"/>
        </w:tabs>
        <w:snapToGrid w:val="0"/>
        <w:spacing w:line="360" w:lineRule="auto"/>
        <w:ind w:firstLine="420" w:firstLineChars="200"/>
        <w:contextualSpacing/>
        <w:jc w:val="left"/>
        <w:rPr>
          <w:szCs w:val="21"/>
        </w:rPr>
      </w:pPr>
      <w:r>
        <w:rPr>
          <w:rFonts w:hint="eastAsia" w:ascii="宋体" w:hAnsi="宋体" w:cs="宋体"/>
          <w:kern w:val="0"/>
          <w:szCs w:val="21"/>
        </w:rPr>
        <w:t>25.4.1</w:t>
      </w:r>
      <w:r>
        <w:rPr>
          <w:rFonts w:hint="eastAsia" w:ascii="宋体" w:hAnsi="宋体"/>
          <w:szCs w:val="21"/>
        </w:rPr>
        <w:t>资格性检查。依据法规政策和采购文件的规定，在对投标文件详细评估之前，采购人将依据供应商提交的投标文件按采购公告第二项和采购文件第三章4.供应商应提交的证明文件所述的资格标准对供应商进行资格审查,以确定其是否具备投标资格。如果供应商不具备投标资格、不满足采购文件所规定的资格标准或提供资格证明文件不全,其投标将被作为无效投标。</w:t>
      </w:r>
      <w:r>
        <w:rPr>
          <w:rFonts w:hint="eastAsia" w:ascii="宋体" w:hAnsi="宋体" w:cs="Lucida Sans Unicode"/>
          <w:szCs w:val="21"/>
        </w:rPr>
        <w:t>在审查过程中，采购人有权要求供应商按采购文件的规定提供相关资格证明材料的原件以供审查。供应商应在规定的时限内提供。供应商拒不提供的，或者不能在规定时限内提供的，视为其不具备该资格条件。</w:t>
      </w:r>
    </w:p>
    <w:p>
      <w:pPr>
        <w:widowControl/>
        <w:snapToGrid w:val="0"/>
        <w:spacing w:line="360" w:lineRule="auto"/>
        <w:ind w:firstLine="420" w:firstLineChars="200"/>
        <w:jc w:val="left"/>
        <w:rPr>
          <w:rFonts w:ascii="宋体" w:hAnsi="宋体" w:cs="Lucida Sans Unicode"/>
          <w:szCs w:val="21"/>
        </w:rPr>
      </w:pPr>
      <w:r>
        <w:rPr>
          <w:rFonts w:hint="eastAsia" w:ascii="宋体" w:hAnsi="宋体" w:cs="Lucida Sans Unicode"/>
          <w:szCs w:val="21"/>
        </w:rPr>
        <w:t>25.4.2 资格审查后合格的供应商不足3家的，不得评标。</w:t>
      </w:r>
    </w:p>
    <w:p>
      <w:pPr>
        <w:widowControl/>
        <w:snapToGrid w:val="0"/>
        <w:spacing w:line="360" w:lineRule="auto"/>
        <w:ind w:firstLine="420" w:firstLineChars="200"/>
        <w:jc w:val="left"/>
        <w:rPr>
          <w:szCs w:val="21"/>
        </w:rPr>
      </w:pPr>
      <w:r>
        <w:rPr>
          <w:rFonts w:hint="eastAsia" w:ascii="宋体" w:hAnsi="宋体" w:cs="宋体"/>
          <w:kern w:val="0"/>
          <w:szCs w:val="21"/>
        </w:rPr>
        <w:t>25.4.3 符合性检查。依据采购文件的规定，评标委员会将从投标文件的有效性、完整性和对采购文件的响应程度进行审查，以确定是否符合对采购文件的实质性要求作出响应。对没有实质性响应的投标文件将不进行评估，其投标被作为无效投标。凡有下列情况之一者，投标文件也将被视为未实质性响应采购文件要求：</w:t>
      </w:r>
    </w:p>
    <w:p>
      <w:pPr>
        <w:widowControl/>
        <w:tabs>
          <w:tab w:val="left" w:pos="0"/>
        </w:tabs>
        <w:snapToGrid w:val="0"/>
        <w:spacing w:line="360" w:lineRule="auto"/>
        <w:ind w:firstLine="420" w:firstLineChars="200"/>
        <w:contextualSpacing/>
        <w:jc w:val="left"/>
        <w:rPr>
          <w:rFonts w:ascii="宋体" w:hAnsi="宋体"/>
          <w:szCs w:val="21"/>
        </w:rPr>
      </w:pPr>
      <w:r>
        <w:rPr>
          <w:rFonts w:hint="eastAsia" w:ascii="宋体" w:hAnsi="宋体"/>
          <w:szCs w:val="21"/>
        </w:rPr>
        <w:t>（1）投标文件未按规定签字、盖章的。</w:t>
      </w:r>
    </w:p>
    <w:p>
      <w:pPr>
        <w:widowControl/>
        <w:tabs>
          <w:tab w:val="left" w:pos="0"/>
        </w:tabs>
        <w:snapToGrid w:val="0"/>
        <w:spacing w:line="360" w:lineRule="auto"/>
        <w:ind w:firstLine="420" w:firstLineChars="200"/>
        <w:contextualSpacing/>
        <w:jc w:val="left"/>
        <w:rPr>
          <w:rFonts w:ascii="宋体" w:hAnsi="宋体"/>
          <w:szCs w:val="21"/>
        </w:rPr>
      </w:pPr>
      <w:r>
        <w:rPr>
          <w:rFonts w:hint="eastAsia" w:ascii="宋体" w:hAnsi="宋体"/>
          <w:szCs w:val="21"/>
        </w:rPr>
        <w:t>（2）供应商未能出具有效身份证明，或与身份不符的。</w:t>
      </w:r>
    </w:p>
    <w:p>
      <w:pPr>
        <w:widowControl/>
        <w:tabs>
          <w:tab w:val="left" w:pos="0"/>
        </w:tabs>
        <w:snapToGrid w:val="0"/>
        <w:spacing w:line="360" w:lineRule="auto"/>
        <w:ind w:firstLine="420" w:firstLineChars="200"/>
        <w:contextualSpacing/>
        <w:jc w:val="left"/>
        <w:rPr>
          <w:rFonts w:ascii="宋体" w:hAnsi="宋体"/>
          <w:szCs w:val="21"/>
        </w:rPr>
      </w:pPr>
      <w:r>
        <w:rPr>
          <w:rFonts w:hint="eastAsia" w:ascii="宋体" w:hAnsi="宋体"/>
          <w:szCs w:val="21"/>
        </w:rPr>
        <w:t>（3）资格证明文件不全的，或不符合采购文件标明的资格要求的。</w:t>
      </w:r>
    </w:p>
    <w:p>
      <w:pPr>
        <w:widowControl/>
        <w:tabs>
          <w:tab w:val="left" w:pos="0"/>
        </w:tabs>
        <w:snapToGrid w:val="0"/>
        <w:spacing w:line="360" w:lineRule="auto"/>
        <w:ind w:firstLine="420" w:firstLineChars="200"/>
        <w:contextualSpacing/>
        <w:jc w:val="left"/>
        <w:rPr>
          <w:rFonts w:ascii="宋体" w:hAnsi="宋体"/>
          <w:szCs w:val="21"/>
        </w:rPr>
      </w:pPr>
      <w:r>
        <w:rPr>
          <w:rFonts w:hint="eastAsia" w:ascii="宋体" w:hAnsi="宋体"/>
          <w:szCs w:val="21"/>
        </w:rPr>
        <w:t>（4）投标</w:t>
      </w:r>
      <w:r>
        <w:rPr>
          <w:rFonts w:hint="eastAsia" w:ascii="宋体" w:hAnsi="宋体"/>
          <w:color w:val="000000" w:themeColor="text1"/>
          <w:szCs w:val="21"/>
        </w:rPr>
        <w:t>有效期、合同履行期限</w:t>
      </w:r>
      <w:r>
        <w:rPr>
          <w:rFonts w:hint="eastAsia" w:ascii="宋体" w:hAnsi="宋体"/>
          <w:szCs w:val="21"/>
        </w:rPr>
        <w:t>、质量等</w:t>
      </w:r>
      <w:r>
        <w:rPr>
          <w:rFonts w:hint="eastAsia" w:ascii="宋体" w:hAnsi="宋体"/>
          <w:color w:val="000000" w:themeColor="text1"/>
          <w:szCs w:val="21"/>
        </w:rPr>
        <w:t>不</w:t>
      </w:r>
      <w:r>
        <w:rPr>
          <w:rFonts w:hint="eastAsia" w:ascii="宋体" w:hAnsi="宋体"/>
          <w:szCs w:val="21"/>
        </w:rPr>
        <w:t>满足采购文件要求的。</w:t>
      </w:r>
    </w:p>
    <w:p>
      <w:pPr>
        <w:widowControl/>
        <w:tabs>
          <w:tab w:val="left" w:pos="0"/>
        </w:tabs>
        <w:snapToGrid w:val="0"/>
        <w:spacing w:line="360" w:lineRule="auto"/>
        <w:ind w:firstLine="420" w:firstLineChars="200"/>
        <w:contextualSpacing/>
        <w:jc w:val="left"/>
        <w:rPr>
          <w:rFonts w:ascii="宋体" w:hAnsi="宋体"/>
          <w:szCs w:val="21"/>
        </w:rPr>
      </w:pPr>
      <w:r>
        <w:rPr>
          <w:rFonts w:hint="eastAsia" w:ascii="宋体" w:hAnsi="宋体"/>
          <w:szCs w:val="21"/>
        </w:rPr>
        <w:t>（5）未按采购文件提供的格式填列、项目不齐全或内容虚假的。</w:t>
      </w:r>
    </w:p>
    <w:p>
      <w:pPr>
        <w:widowControl/>
        <w:tabs>
          <w:tab w:val="left" w:pos="0"/>
        </w:tabs>
        <w:snapToGrid w:val="0"/>
        <w:spacing w:line="360" w:lineRule="auto"/>
        <w:ind w:firstLine="420" w:firstLineChars="200"/>
        <w:contextualSpacing/>
        <w:jc w:val="left"/>
        <w:rPr>
          <w:rFonts w:ascii="宋体" w:hAnsi="宋体"/>
          <w:szCs w:val="21"/>
        </w:rPr>
      </w:pPr>
      <w:r>
        <w:rPr>
          <w:rFonts w:hint="eastAsia" w:ascii="宋体" w:hAnsi="宋体"/>
          <w:szCs w:val="21"/>
        </w:rPr>
        <w:t>（6）投标文件的实质性内容未使用中文表述，或意思表述不明确，或前后矛盾，或使用计量单位不符合采购文件要求的。</w:t>
      </w:r>
    </w:p>
    <w:p>
      <w:pPr>
        <w:widowControl/>
        <w:tabs>
          <w:tab w:val="left" w:pos="0"/>
        </w:tabs>
        <w:snapToGrid w:val="0"/>
        <w:spacing w:line="360" w:lineRule="auto"/>
        <w:ind w:firstLine="420" w:firstLineChars="200"/>
        <w:contextualSpacing/>
        <w:jc w:val="left"/>
        <w:rPr>
          <w:rFonts w:ascii="宋体" w:hAnsi="宋体"/>
          <w:szCs w:val="21"/>
        </w:rPr>
      </w:pPr>
      <w:r>
        <w:rPr>
          <w:rFonts w:hint="eastAsia" w:ascii="宋体" w:hAnsi="宋体"/>
          <w:szCs w:val="21"/>
        </w:rPr>
        <w:t>（7）投标文件的关键内容字迹模糊、无法辨认,或投标文件中经修正的内容字迹模糊无法辩认，或修改处未按规定签名盖章的。</w:t>
      </w:r>
    </w:p>
    <w:p>
      <w:pPr>
        <w:widowControl/>
        <w:tabs>
          <w:tab w:val="left" w:pos="0"/>
        </w:tabs>
        <w:snapToGrid w:val="0"/>
        <w:spacing w:line="360" w:lineRule="auto"/>
        <w:ind w:firstLine="420" w:firstLineChars="200"/>
        <w:contextualSpacing/>
        <w:jc w:val="left"/>
        <w:rPr>
          <w:rFonts w:ascii="宋体" w:hAnsi="宋体" w:cs="宋体"/>
          <w:kern w:val="0"/>
          <w:szCs w:val="21"/>
        </w:rPr>
      </w:pPr>
      <w:r>
        <w:rPr>
          <w:rFonts w:hint="eastAsia" w:ascii="宋体" w:hAnsi="宋体"/>
          <w:szCs w:val="21"/>
        </w:rPr>
        <w:t>（8）投标文件内容未按采购文件响应的。</w:t>
      </w:r>
    </w:p>
    <w:p>
      <w:pPr>
        <w:widowControl/>
        <w:tabs>
          <w:tab w:val="left" w:pos="0"/>
        </w:tabs>
        <w:snapToGrid w:val="0"/>
        <w:spacing w:line="360" w:lineRule="auto"/>
        <w:ind w:firstLine="420" w:firstLineChars="200"/>
        <w:contextualSpacing/>
        <w:jc w:val="left"/>
        <w:rPr>
          <w:rFonts w:ascii="宋体" w:hAnsi="宋体" w:cs="宋体"/>
          <w:kern w:val="0"/>
          <w:szCs w:val="21"/>
        </w:rPr>
      </w:pPr>
      <w:r>
        <w:rPr>
          <w:rFonts w:hint="eastAsia" w:ascii="宋体" w:hAnsi="宋体" w:cs="宋体"/>
          <w:kern w:val="0"/>
          <w:szCs w:val="21"/>
        </w:rPr>
        <w:t>（9）不符合采购文件中规定的其它实质性条款。</w:t>
      </w:r>
    </w:p>
    <w:p>
      <w:pPr>
        <w:widowControl/>
        <w:tabs>
          <w:tab w:val="left" w:pos="0"/>
        </w:tabs>
        <w:snapToGrid w:val="0"/>
        <w:spacing w:line="360" w:lineRule="auto"/>
        <w:ind w:firstLine="420" w:firstLineChars="200"/>
        <w:contextualSpacing/>
        <w:jc w:val="left"/>
        <w:rPr>
          <w:rFonts w:ascii="宋体" w:hAnsi="宋体" w:cs="宋体"/>
          <w:kern w:val="0"/>
          <w:szCs w:val="21"/>
        </w:rPr>
      </w:pPr>
      <w:r>
        <w:rPr>
          <w:rFonts w:hint="eastAsia" w:ascii="宋体" w:hAnsi="宋体" w:cs="宋体"/>
          <w:kern w:val="0"/>
          <w:szCs w:val="21"/>
        </w:rPr>
        <w:t>评标委员会决定投标的响应性只根据投标文件本身的内容，而不寻求其他的外部证据。</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25.4.4 对资格性检查和符合性检查不合格的供应商，将通过评标系统告知其理由。</w:t>
      </w:r>
    </w:p>
    <w:p>
      <w:pPr>
        <w:pStyle w:val="28"/>
        <w:widowControl/>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25.5 在评审过程中，评标委员会发现供应商有下列情形之一的，视为供应商串通投标，其投标无效：</w:t>
      </w:r>
    </w:p>
    <w:p>
      <w:pPr>
        <w:widowControl/>
        <w:tabs>
          <w:tab w:val="left" w:pos="0"/>
        </w:tabs>
        <w:snapToGrid w:val="0"/>
        <w:spacing w:line="360" w:lineRule="auto"/>
        <w:ind w:left="105" w:leftChars="50" w:firstLine="315" w:firstLineChars="150"/>
        <w:contextualSpacing/>
        <w:jc w:val="left"/>
        <w:rPr>
          <w:rFonts w:ascii="宋体" w:hAnsi="宋体" w:cs="宋体"/>
          <w:kern w:val="0"/>
          <w:szCs w:val="21"/>
        </w:rPr>
      </w:pPr>
      <w:r>
        <w:rPr>
          <w:rFonts w:hint="eastAsia" w:ascii="宋体" w:hAnsi="宋体" w:cs="宋体"/>
          <w:kern w:val="0"/>
          <w:szCs w:val="21"/>
        </w:rPr>
        <w:t>25.5.1不同供应商的投标文件异常一致。</w:t>
      </w:r>
    </w:p>
    <w:p>
      <w:pPr>
        <w:widowControl/>
        <w:tabs>
          <w:tab w:val="left" w:pos="0"/>
        </w:tabs>
        <w:snapToGrid w:val="0"/>
        <w:spacing w:line="360" w:lineRule="auto"/>
        <w:ind w:left="105" w:leftChars="50" w:firstLine="315" w:firstLineChars="150"/>
        <w:contextualSpacing/>
        <w:jc w:val="left"/>
        <w:rPr>
          <w:rFonts w:ascii="宋体" w:hAnsi="宋体" w:cs="宋体"/>
          <w:szCs w:val="21"/>
        </w:rPr>
      </w:pPr>
      <w:r>
        <w:rPr>
          <w:rFonts w:hint="eastAsia" w:ascii="宋体" w:hAnsi="宋体" w:cs="宋体"/>
          <w:szCs w:val="21"/>
        </w:rPr>
        <w:t>25.5.2不同供应商的投标文件由同一单位或者个人编制；</w:t>
      </w:r>
    </w:p>
    <w:p>
      <w:pPr>
        <w:widowControl/>
        <w:tabs>
          <w:tab w:val="left" w:pos="0"/>
        </w:tabs>
        <w:snapToGrid w:val="0"/>
        <w:spacing w:line="360" w:lineRule="auto"/>
        <w:ind w:left="105" w:leftChars="50" w:firstLine="315" w:firstLineChars="150"/>
        <w:contextualSpacing/>
        <w:jc w:val="left"/>
        <w:rPr>
          <w:rFonts w:ascii="宋体" w:hAnsi="宋体" w:cs="宋体"/>
          <w:szCs w:val="21"/>
        </w:rPr>
      </w:pPr>
      <w:r>
        <w:rPr>
          <w:rFonts w:hint="eastAsia" w:ascii="宋体" w:hAnsi="宋体" w:cs="宋体"/>
          <w:szCs w:val="21"/>
        </w:rPr>
        <w:t>25.5.3不同供应商委托同一单位或者个人办理投标事宜；</w:t>
      </w:r>
    </w:p>
    <w:p>
      <w:pPr>
        <w:widowControl/>
        <w:tabs>
          <w:tab w:val="left" w:pos="0"/>
        </w:tabs>
        <w:snapToGrid w:val="0"/>
        <w:spacing w:line="360" w:lineRule="auto"/>
        <w:ind w:left="105" w:leftChars="50" w:firstLine="315" w:firstLineChars="150"/>
        <w:contextualSpacing/>
        <w:jc w:val="left"/>
        <w:rPr>
          <w:rFonts w:ascii="宋体" w:hAnsi="宋体" w:cs="宋体"/>
          <w:szCs w:val="21"/>
        </w:rPr>
      </w:pPr>
      <w:r>
        <w:rPr>
          <w:rFonts w:hint="eastAsia" w:ascii="宋体" w:hAnsi="宋体" w:cs="宋体"/>
          <w:szCs w:val="21"/>
        </w:rPr>
        <w:t>25.5.4不同供应商的投标文件载明的项目管理成员或者联系人员为同一人；　　</w:t>
      </w:r>
    </w:p>
    <w:p>
      <w:pPr>
        <w:widowControl/>
        <w:tabs>
          <w:tab w:val="left" w:pos="0"/>
        </w:tabs>
        <w:snapToGrid w:val="0"/>
        <w:spacing w:line="360" w:lineRule="auto"/>
        <w:ind w:left="105" w:leftChars="50" w:firstLine="315" w:firstLineChars="150"/>
        <w:contextualSpacing/>
        <w:jc w:val="left"/>
        <w:rPr>
          <w:rFonts w:ascii="宋体" w:hAnsi="宋体" w:cs="宋体"/>
          <w:szCs w:val="21"/>
        </w:rPr>
      </w:pPr>
      <w:r>
        <w:rPr>
          <w:rFonts w:hint="eastAsia" w:ascii="宋体" w:hAnsi="宋体" w:cs="宋体"/>
          <w:szCs w:val="21"/>
        </w:rPr>
        <w:t>25.5.5不同供应商的投标文件相互混装；</w:t>
      </w:r>
    </w:p>
    <w:p>
      <w:pPr>
        <w:widowControl/>
        <w:tabs>
          <w:tab w:val="left" w:pos="0"/>
        </w:tabs>
        <w:snapToGrid w:val="0"/>
        <w:spacing w:line="360" w:lineRule="auto"/>
        <w:ind w:left="105" w:leftChars="50" w:firstLine="315" w:firstLineChars="150"/>
        <w:contextualSpacing/>
        <w:jc w:val="left"/>
        <w:rPr>
          <w:rFonts w:ascii="宋体" w:hAnsi="宋体" w:cs="宋体"/>
          <w:szCs w:val="21"/>
        </w:rPr>
      </w:pPr>
      <w:r>
        <w:rPr>
          <w:rFonts w:hint="eastAsia" w:ascii="宋体" w:hAnsi="宋体" w:cs="宋体"/>
          <w:szCs w:val="21"/>
        </w:rPr>
        <w:t>25.5.6不同供应商的投标保证金从同一单位或者个人的账户转出（若收取）。</w:t>
      </w:r>
    </w:p>
    <w:p>
      <w:pPr>
        <w:widowControl/>
        <w:adjustRightInd w:val="0"/>
        <w:snapToGrid w:val="0"/>
        <w:spacing w:line="360" w:lineRule="auto"/>
        <w:ind w:left="19" w:leftChars="9" w:firstLine="399" w:firstLineChars="190"/>
        <w:jc w:val="left"/>
        <w:textAlignment w:val="baseline"/>
        <w:rPr>
          <w:szCs w:val="21"/>
        </w:rPr>
      </w:pPr>
      <w:r>
        <w:rPr>
          <w:rFonts w:hint="eastAsia" w:ascii="宋体" w:hAnsi="宋体" w:cs="宋体"/>
          <w:kern w:val="0"/>
          <w:szCs w:val="21"/>
        </w:rPr>
        <w:t>25.5.7 有证据证明供应商串通投标的其他情形的；</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25.5.8 不同供应商的投标文件制作机器码一致；</w:t>
      </w:r>
    </w:p>
    <w:p>
      <w:pPr>
        <w:widowControl/>
        <w:snapToGrid w:val="0"/>
        <w:spacing w:line="360" w:lineRule="auto"/>
        <w:ind w:firstLine="420" w:firstLineChars="200"/>
        <w:jc w:val="left"/>
        <w:rPr>
          <w:szCs w:val="21"/>
        </w:rPr>
      </w:pPr>
      <w:r>
        <w:rPr>
          <w:rFonts w:hint="eastAsia" w:ascii="宋体" w:hAnsi="宋体" w:cs="宋体"/>
          <w:kern w:val="0"/>
          <w:szCs w:val="21"/>
        </w:rPr>
        <w:t>25.5.9 评标委员会认定的其他串通投标情形。</w:t>
      </w:r>
    </w:p>
    <w:p>
      <w:pPr>
        <w:widowControl/>
        <w:snapToGrid w:val="0"/>
        <w:spacing w:line="360" w:lineRule="auto"/>
        <w:ind w:firstLine="422" w:firstLineChars="200"/>
        <w:jc w:val="left"/>
        <w:rPr>
          <w:rFonts w:ascii="宋体" w:hAnsi="宋体" w:cs="宋体"/>
          <w:kern w:val="0"/>
          <w:szCs w:val="21"/>
        </w:rPr>
      </w:pPr>
      <w:r>
        <w:rPr>
          <w:rFonts w:hint="eastAsia" w:ascii="宋体" w:hAnsi="宋体" w:cs="宋体"/>
          <w:b/>
          <w:bCs/>
          <w:kern w:val="0"/>
          <w:szCs w:val="21"/>
        </w:rPr>
        <w:t>26. 投标文件的澄清</w:t>
      </w:r>
    </w:p>
    <w:p>
      <w:pPr>
        <w:widowControl/>
        <w:snapToGrid w:val="0"/>
        <w:spacing w:line="360" w:lineRule="auto"/>
        <w:ind w:firstLine="420" w:firstLineChars="200"/>
        <w:jc w:val="left"/>
        <w:rPr>
          <w:szCs w:val="21"/>
        </w:rPr>
      </w:pPr>
      <w:r>
        <w:rPr>
          <w:rFonts w:hint="eastAsia" w:ascii="宋体" w:hAnsi="宋体" w:cs="宋体"/>
          <w:kern w:val="0"/>
          <w:szCs w:val="21"/>
        </w:rPr>
        <w:t>对投标文件中含义不明确、同类问题表述不一致或者有明显文字和计算错误的内容，评标委员会可以书面形式要求供应商作出必要的澄清。供应商的澄清应当在评标委员会规定的时间内以书面形式作出，由其供应商代表签字。但澄清事项不得超出投标文件的范围，不得实质性改变投标文件的内容，不得通过澄清等方式对供应商实行差别对待。评标委员会不得接受供应商主动提出的澄清和解释。</w:t>
      </w:r>
    </w:p>
    <w:p>
      <w:pPr>
        <w:widowControl/>
        <w:snapToGrid w:val="0"/>
        <w:spacing w:line="360" w:lineRule="auto"/>
        <w:ind w:firstLine="422" w:firstLineChars="200"/>
        <w:jc w:val="left"/>
        <w:rPr>
          <w:rFonts w:ascii="宋体" w:hAnsi="宋体" w:cs="宋体"/>
          <w:b/>
          <w:bCs/>
          <w:kern w:val="0"/>
          <w:szCs w:val="21"/>
        </w:rPr>
      </w:pPr>
      <w:r>
        <w:rPr>
          <w:rFonts w:hint="eastAsia" w:ascii="宋体" w:hAnsi="宋体" w:cs="宋体"/>
          <w:b/>
          <w:bCs/>
          <w:kern w:val="0"/>
          <w:szCs w:val="21"/>
        </w:rPr>
        <w:t>27. 比较与评价</w:t>
      </w:r>
    </w:p>
    <w:p>
      <w:pPr>
        <w:pStyle w:val="28"/>
        <w:widowControl/>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27.1 评标委员会将按本采购文件规定的评标方法与标准，对资格性检查和符合性检查合格的投标文件进行商务和技术评估，综合比较与评价。</w:t>
      </w:r>
    </w:p>
    <w:p>
      <w:pPr>
        <w:pStyle w:val="28"/>
        <w:widowControl/>
        <w:snapToGrid w:val="0"/>
        <w:spacing w:before="0" w:beforeAutospacing="0" w:after="0" w:afterAutospacing="0" w:line="360" w:lineRule="auto"/>
        <w:ind w:firstLine="420" w:firstLineChars="200"/>
        <w:jc w:val="both"/>
        <w:rPr>
          <w:rFonts w:ascii="宋体" w:hAnsi="宋体" w:cs="宋体"/>
          <w:sz w:val="21"/>
          <w:szCs w:val="21"/>
        </w:rPr>
      </w:pPr>
      <w:r>
        <w:rPr>
          <w:rFonts w:hint="eastAsia" w:ascii="宋体" w:hAnsi="宋体" w:cs="宋体"/>
          <w:sz w:val="21"/>
          <w:szCs w:val="21"/>
        </w:rPr>
        <w:t>27.2对漏（缺）报项的处理：采购文件中要求列入报价的费用（含配置、功能），漏（缺）报的视同已含在投标总价中。</w:t>
      </w:r>
    </w:p>
    <w:p>
      <w:pPr>
        <w:pStyle w:val="28"/>
        <w:widowControl/>
        <w:snapToGrid w:val="0"/>
        <w:spacing w:before="0" w:beforeAutospacing="0" w:after="0" w:afterAutospacing="0" w:line="360" w:lineRule="auto"/>
        <w:ind w:firstLine="420" w:firstLineChars="200"/>
        <w:jc w:val="both"/>
        <w:rPr>
          <w:rFonts w:ascii="宋体" w:hAnsi="宋体" w:cs="宋体"/>
          <w:b/>
          <w:bCs/>
          <w:sz w:val="21"/>
          <w:szCs w:val="21"/>
        </w:rPr>
      </w:pPr>
      <w:r>
        <w:rPr>
          <w:rFonts w:hint="eastAsia" w:ascii="宋体" w:hAnsi="宋体" w:cs="宋体"/>
          <w:sz w:val="21"/>
          <w:szCs w:val="21"/>
        </w:rPr>
        <w:t>27.3评标委员会认为供应商的报价明显低于其他通过符合性审查供应商的报价，有可能影响产品质量或者不能诚信履约的，应当要求其在评标现场合理的时间内提供书面说明，必要时提交相关证明材料；供应商不能证明其报价合理性的，评标委员会应当将其作为无效投标处理。</w:t>
      </w:r>
    </w:p>
    <w:p>
      <w:pPr>
        <w:widowControl/>
        <w:snapToGrid w:val="0"/>
        <w:spacing w:line="360" w:lineRule="auto"/>
        <w:ind w:firstLine="422" w:firstLineChars="200"/>
        <w:jc w:val="left"/>
        <w:rPr>
          <w:rFonts w:ascii="宋体" w:hAnsi="宋体" w:cs="宋体"/>
          <w:kern w:val="0"/>
          <w:szCs w:val="21"/>
        </w:rPr>
      </w:pPr>
      <w:r>
        <w:rPr>
          <w:rFonts w:hint="eastAsia" w:ascii="宋体" w:hAnsi="宋体" w:cs="宋体"/>
          <w:b/>
          <w:bCs/>
          <w:kern w:val="0"/>
          <w:szCs w:val="21"/>
        </w:rPr>
        <w:t>28. 评标过程及保密原则</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28.1 凡与本次采购有关人员对属于审查、澄清、评价和比较投标的有关资料以及定标意向等，均不得向供应商或其他人员透露。否则,将按有关规定追究相关人员的责任。</w:t>
      </w:r>
    </w:p>
    <w:p>
      <w:pPr>
        <w:widowControl/>
        <w:snapToGrid w:val="0"/>
        <w:spacing w:line="360" w:lineRule="auto"/>
        <w:ind w:firstLine="420" w:firstLineChars="200"/>
        <w:jc w:val="left"/>
        <w:rPr>
          <w:szCs w:val="21"/>
        </w:rPr>
      </w:pPr>
      <w:r>
        <w:rPr>
          <w:rFonts w:hint="eastAsia" w:ascii="宋体" w:hAnsi="宋体" w:cs="宋体"/>
          <w:kern w:val="0"/>
          <w:szCs w:val="21"/>
        </w:rPr>
        <w:t>28.2 在评标期间，供应商试图影响或干预评审的任何行为，将导致其投标被作为无效投标，并承担相应的法律责任。</w:t>
      </w:r>
    </w:p>
    <w:p>
      <w:pPr>
        <w:widowControl/>
        <w:snapToGrid w:val="0"/>
        <w:spacing w:line="360" w:lineRule="auto"/>
        <w:ind w:firstLine="422" w:firstLineChars="200"/>
        <w:jc w:val="left"/>
        <w:rPr>
          <w:rFonts w:ascii="宋体" w:hAnsi="宋体" w:cs="宋体"/>
          <w:b/>
          <w:kern w:val="0"/>
          <w:szCs w:val="21"/>
        </w:rPr>
      </w:pPr>
      <w:r>
        <w:rPr>
          <w:rFonts w:hint="eastAsia" w:ascii="宋体" w:hAnsi="宋体" w:cs="宋体"/>
          <w:b/>
          <w:kern w:val="0"/>
          <w:szCs w:val="21"/>
        </w:rPr>
        <w:t>29.评标异议登记</w:t>
      </w:r>
    </w:p>
    <w:p>
      <w:pPr>
        <w:widowControl/>
        <w:snapToGrid w:val="0"/>
        <w:spacing w:line="360" w:lineRule="auto"/>
        <w:ind w:firstLine="420" w:firstLineChars="200"/>
        <w:jc w:val="left"/>
        <w:rPr>
          <w:rFonts w:ascii="宋体" w:hAnsi="宋体" w:cs="宋体"/>
          <w:kern w:val="0"/>
          <w:sz w:val="24"/>
        </w:rPr>
      </w:pPr>
      <w:r>
        <w:rPr>
          <w:rFonts w:hint="eastAsia" w:ascii="宋体" w:hAnsi="宋体" w:cs="宋体"/>
          <w:bCs/>
          <w:kern w:val="0"/>
          <w:szCs w:val="21"/>
        </w:rPr>
        <w:t>采购人</w:t>
      </w:r>
      <w:r>
        <w:rPr>
          <w:rFonts w:hint="eastAsia" w:ascii="宋体" w:hAnsi="宋体" w:cs="宋体"/>
          <w:kern w:val="0"/>
          <w:szCs w:val="21"/>
        </w:rPr>
        <w:t>工作人员对评审专家等相关人员在评审过程中发现、提出的异议进行逐项登记。</w:t>
      </w:r>
    </w:p>
    <w:p>
      <w:pPr>
        <w:widowControl/>
        <w:snapToGrid w:val="0"/>
        <w:spacing w:line="360" w:lineRule="auto"/>
        <w:ind w:firstLine="3050"/>
        <w:jc w:val="left"/>
        <w:outlineLvl w:val="1"/>
        <w:rPr>
          <w:rFonts w:ascii="宋体" w:hAnsi="宋体" w:cs="宋体"/>
          <w:kern w:val="0"/>
          <w:sz w:val="24"/>
        </w:rPr>
      </w:pPr>
      <w:r>
        <w:rPr>
          <w:rFonts w:hint="eastAsia" w:ascii="黑体" w:hAnsi="宋体" w:eastAsia="黑体" w:cs="宋体"/>
          <w:b/>
          <w:bCs/>
          <w:kern w:val="0"/>
          <w:sz w:val="32"/>
          <w:szCs w:val="32"/>
        </w:rPr>
        <w:t>六</w:t>
      </w:r>
      <w:r>
        <w:rPr>
          <w:rFonts w:hint="eastAsia" w:ascii="黑体" w:hAnsi="宋体" w:eastAsia="黑体" w:cs="宋体"/>
          <w:b/>
          <w:bCs/>
          <w:kern w:val="0"/>
          <w:sz w:val="32"/>
        </w:rPr>
        <w:t>、</w:t>
      </w:r>
      <w:r>
        <w:rPr>
          <w:rFonts w:hint="eastAsia" w:ascii="黑体" w:hAnsi="宋体" w:eastAsia="黑体" w:cs="宋体"/>
          <w:b/>
          <w:bCs/>
          <w:kern w:val="0"/>
          <w:sz w:val="32"/>
          <w:szCs w:val="32"/>
        </w:rPr>
        <w:t>定标</w:t>
      </w:r>
    </w:p>
    <w:p>
      <w:pPr>
        <w:widowControl/>
        <w:snapToGrid w:val="0"/>
        <w:spacing w:line="360" w:lineRule="auto"/>
        <w:ind w:firstLine="422" w:firstLineChars="200"/>
        <w:rPr>
          <w:rFonts w:ascii="宋体" w:hAnsi="宋体" w:cs="宋体"/>
          <w:kern w:val="0"/>
          <w:szCs w:val="21"/>
        </w:rPr>
      </w:pPr>
      <w:r>
        <w:rPr>
          <w:rFonts w:hint="eastAsia" w:ascii="宋体" w:hAnsi="宋体" w:cs="宋体"/>
          <w:b/>
          <w:bCs/>
          <w:kern w:val="0"/>
          <w:szCs w:val="21"/>
        </w:rPr>
        <w:t>30. 定标原则</w:t>
      </w:r>
    </w:p>
    <w:p>
      <w:pPr>
        <w:widowControl/>
        <w:snapToGrid w:val="0"/>
        <w:spacing w:line="360" w:lineRule="auto"/>
        <w:ind w:firstLine="420" w:firstLineChars="200"/>
        <w:jc w:val="left"/>
        <w:rPr>
          <w:rFonts w:ascii="宋体" w:hAnsi="宋体" w:cs="宋体"/>
          <w:bCs/>
          <w:kern w:val="0"/>
          <w:szCs w:val="21"/>
        </w:rPr>
      </w:pPr>
      <w:r>
        <w:rPr>
          <w:rFonts w:hint="eastAsia" w:ascii="宋体" w:hAnsi="宋体" w:cs="宋体"/>
          <w:bCs/>
          <w:kern w:val="0"/>
          <w:szCs w:val="21"/>
        </w:rPr>
        <w:t>30.1 最低投标价不作为中标的保证。</w:t>
      </w:r>
    </w:p>
    <w:p>
      <w:pPr>
        <w:widowControl/>
        <w:snapToGrid w:val="0"/>
        <w:spacing w:line="360" w:lineRule="auto"/>
        <w:ind w:firstLine="420" w:firstLineChars="200"/>
        <w:jc w:val="left"/>
        <w:rPr>
          <w:rFonts w:ascii="宋体" w:hAnsi="宋体" w:cs="宋体"/>
          <w:bCs/>
          <w:kern w:val="0"/>
          <w:szCs w:val="21"/>
        </w:rPr>
      </w:pPr>
      <w:r>
        <w:rPr>
          <w:rFonts w:hint="eastAsia" w:ascii="宋体" w:hAnsi="宋体" w:cs="宋体"/>
          <w:bCs/>
          <w:kern w:val="0"/>
          <w:szCs w:val="21"/>
        </w:rPr>
        <w:t>30.2 确定实质上响应采购文件且满足下列条件的为中标候选人（或中标人）</w:t>
      </w:r>
    </w:p>
    <w:p>
      <w:pPr>
        <w:snapToGrid w:val="0"/>
        <w:spacing w:line="360" w:lineRule="auto"/>
        <w:ind w:firstLine="420" w:firstLineChars="200"/>
        <w:rPr>
          <w:rFonts w:ascii="宋体" w:hAnsi="宋体" w:cs="宋体"/>
          <w:szCs w:val="21"/>
        </w:rPr>
      </w:pPr>
      <w:bookmarkStart w:id="36" w:name="_Toc32200"/>
      <w:r>
        <w:rPr>
          <w:rFonts w:hint="eastAsia" w:ascii="宋体" w:hAnsi="宋体" w:cs="宋体"/>
          <w:bCs/>
          <w:kern w:val="0"/>
          <w:szCs w:val="21"/>
        </w:rPr>
        <w:t>30.2.1</w:t>
      </w:r>
      <w:bookmarkEnd w:id="36"/>
      <w:r>
        <w:rPr>
          <w:rFonts w:hint="eastAsia" w:ascii="宋体" w:hAnsi="宋体" w:cs="宋体"/>
          <w:bCs/>
          <w:kern w:val="0"/>
          <w:szCs w:val="21"/>
        </w:rPr>
        <w:t>本次评标采用</w:t>
      </w:r>
      <w:r>
        <w:rPr>
          <w:rFonts w:hint="eastAsia" w:ascii="宋体" w:hAnsi="宋体" w:cs="宋体"/>
          <w:szCs w:val="21"/>
        </w:rPr>
        <w:t>综合评分法，是指响应文件满足采购文件全部实质性要求，且按照评审因素的量化指标评审得分最高的供应商为中标候选人的评标方法。</w:t>
      </w:r>
    </w:p>
    <w:p>
      <w:pPr>
        <w:snapToGrid w:val="0"/>
        <w:spacing w:line="360" w:lineRule="auto"/>
        <w:ind w:firstLine="420" w:firstLineChars="200"/>
        <w:rPr>
          <w:rFonts w:ascii="宋体" w:hAnsi="宋体" w:cs="宋体"/>
          <w:szCs w:val="21"/>
        </w:rPr>
      </w:pPr>
      <w:r>
        <w:rPr>
          <w:rFonts w:hint="eastAsia" w:ascii="宋体" w:hAnsi="宋体" w:cs="宋体"/>
          <w:szCs w:val="21"/>
        </w:rPr>
        <w:t>采用综合评分法的，评标结果按评审后得分由高到低顺序排列。投标文件满足采购文件全部实质性要求，且按照评审因素的量化指标评审得分最高的供应商为排名第一的中标候选人，以此类推。得分相同的，按投标报价由低到高顺序排列。得分且投标报价相同的，按技术部分得分顺序排列。得分与技术指标优劣均相同的，通过随机抽取产生。</w:t>
      </w:r>
    </w:p>
    <w:p>
      <w:pPr>
        <w:widowControl/>
        <w:snapToGrid w:val="0"/>
        <w:spacing w:line="360" w:lineRule="auto"/>
        <w:ind w:firstLine="422" w:firstLineChars="200"/>
        <w:rPr>
          <w:rFonts w:ascii="宋体" w:hAnsi="宋体" w:cs="宋体"/>
          <w:kern w:val="0"/>
          <w:szCs w:val="21"/>
        </w:rPr>
      </w:pPr>
      <w:r>
        <w:rPr>
          <w:rFonts w:hint="eastAsia" w:ascii="宋体" w:hAnsi="宋体" w:cs="宋体"/>
          <w:b/>
          <w:bCs/>
          <w:kern w:val="0"/>
          <w:szCs w:val="21"/>
        </w:rPr>
        <w:t>31. 确定中标人和中标候选人</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bCs/>
          <w:kern w:val="0"/>
          <w:szCs w:val="21"/>
        </w:rPr>
        <w:t>本项目由采购人授权评标委员会确定一名中标人并推荐一名中标候选人</w:t>
      </w:r>
      <w:r>
        <w:rPr>
          <w:rFonts w:hint="eastAsia" w:ascii="宋体" w:hAnsi="宋体" w:cs="宋体"/>
          <w:kern w:val="0"/>
          <w:szCs w:val="21"/>
        </w:rPr>
        <w:t>。</w:t>
      </w:r>
    </w:p>
    <w:p>
      <w:pPr>
        <w:widowControl/>
        <w:snapToGrid w:val="0"/>
        <w:spacing w:line="360" w:lineRule="auto"/>
        <w:ind w:firstLine="422" w:firstLineChars="200"/>
        <w:rPr>
          <w:rFonts w:ascii="宋体" w:hAnsi="宋体" w:cs="宋体"/>
          <w:b/>
          <w:bCs/>
          <w:kern w:val="0"/>
          <w:szCs w:val="21"/>
        </w:rPr>
      </w:pPr>
      <w:r>
        <w:rPr>
          <w:rFonts w:hint="eastAsia" w:ascii="宋体" w:hAnsi="宋体" w:cs="宋体"/>
          <w:b/>
          <w:bCs/>
          <w:kern w:val="0"/>
          <w:szCs w:val="21"/>
        </w:rPr>
        <w:t>32. 中标通知书及中标公告</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32.1评审结束后，采购人将中标候选人的情况在本采购项目采购公告发布的同一媒介予以公示，公示期限3个工作日，公示期结束后向中标人发出中标通知书。</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32.2中标人在规定的时间内不领取中标通知书的，视为中标后自动放弃中标资格；中标人在有效报价中报价最低,非不可抗力放弃中标资格的。发生上述情况的承担由此引起的一切后果。</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32.3中标通知书对采购人和中标人具有同等法律效力。中标通知书发出后，采购人改变中标结果，或者中标人放弃中标，应按相关法律、规章、规范性文件的要求承担相应的法律责任。</w:t>
      </w:r>
    </w:p>
    <w:p>
      <w:pPr>
        <w:widowControl/>
        <w:snapToGrid w:val="0"/>
        <w:spacing w:line="360" w:lineRule="auto"/>
        <w:ind w:firstLine="420" w:firstLineChars="200"/>
        <w:jc w:val="left"/>
        <w:rPr>
          <w:rFonts w:ascii="宋体" w:hAnsi="宋体" w:cs="宋体"/>
          <w:bCs/>
          <w:kern w:val="0"/>
          <w:szCs w:val="21"/>
        </w:rPr>
      </w:pPr>
      <w:r>
        <w:rPr>
          <w:rFonts w:hint="eastAsia" w:ascii="宋体" w:hAnsi="宋体" w:cs="宋体"/>
          <w:kern w:val="0"/>
          <w:szCs w:val="21"/>
        </w:rPr>
        <w:t>32</w:t>
      </w:r>
      <w:r>
        <w:rPr>
          <w:rFonts w:hint="eastAsia" w:ascii="宋体" w:hAnsi="宋体" w:cs="宋体"/>
          <w:bCs/>
          <w:kern w:val="0"/>
          <w:szCs w:val="21"/>
        </w:rPr>
        <w:t>.4中标通知书将作为签订合同的依据。合同签订后，中标通知书成为合同的一部分。</w:t>
      </w:r>
    </w:p>
    <w:p>
      <w:pPr>
        <w:widowControl/>
        <w:snapToGrid w:val="0"/>
        <w:spacing w:line="360" w:lineRule="auto"/>
        <w:ind w:firstLine="422" w:firstLineChars="200"/>
        <w:rPr>
          <w:rFonts w:ascii="宋体" w:hAnsi="宋体" w:cs="宋体"/>
          <w:b/>
          <w:bCs/>
          <w:kern w:val="0"/>
          <w:szCs w:val="21"/>
        </w:rPr>
      </w:pPr>
      <w:r>
        <w:rPr>
          <w:rFonts w:hint="eastAsia" w:ascii="宋体" w:hAnsi="宋体" w:cs="宋体"/>
          <w:b/>
          <w:bCs/>
          <w:kern w:val="0"/>
          <w:szCs w:val="21"/>
        </w:rPr>
        <w:t>33. 采购人宣布废标的权利</w:t>
      </w:r>
    </w:p>
    <w:p>
      <w:pPr>
        <w:widowControl/>
        <w:snapToGrid w:val="0"/>
        <w:spacing w:line="360" w:lineRule="auto"/>
        <w:ind w:firstLine="420" w:firstLineChars="200"/>
        <w:jc w:val="left"/>
        <w:rPr>
          <w:rFonts w:ascii="宋体" w:hAnsi="宋体" w:cs="宋体"/>
          <w:bCs/>
          <w:kern w:val="0"/>
          <w:szCs w:val="21"/>
        </w:rPr>
      </w:pPr>
      <w:r>
        <w:rPr>
          <w:rFonts w:hint="eastAsia" w:ascii="宋体" w:hAnsi="宋体" w:cs="宋体"/>
          <w:bCs/>
          <w:kern w:val="0"/>
          <w:szCs w:val="21"/>
        </w:rPr>
        <w:t>33.1出现下列情况之一时，采购人有权宣布废标，并将理由通知所有供应商：</w:t>
      </w:r>
    </w:p>
    <w:p>
      <w:pPr>
        <w:widowControl/>
        <w:snapToGrid w:val="0"/>
        <w:spacing w:line="360" w:lineRule="auto"/>
        <w:ind w:firstLine="420" w:firstLineChars="200"/>
        <w:jc w:val="left"/>
        <w:rPr>
          <w:rFonts w:ascii="宋体" w:hAnsi="宋体" w:cs="宋体"/>
          <w:bCs/>
          <w:kern w:val="0"/>
          <w:szCs w:val="21"/>
        </w:rPr>
      </w:pPr>
      <w:r>
        <w:rPr>
          <w:rFonts w:hint="eastAsia" w:ascii="宋体" w:hAnsi="宋体" w:cs="宋体"/>
          <w:bCs/>
          <w:kern w:val="0"/>
          <w:szCs w:val="21"/>
        </w:rPr>
        <w:t>33.1.1出现影响采购公正的违法、违规行为的。</w:t>
      </w:r>
    </w:p>
    <w:p>
      <w:pPr>
        <w:widowControl/>
        <w:snapToGrid w:val="0"/>
        <w:spacing w:line="360" w:lineRule="auto"/>
        <w:ind w:firstLine="420" w:firstLineChars="200"/>
        <w:jc w:val="left"/>
        <w:rPr>
          <w:rFonts w:ascii="宋体" w:hAnsi="宋体" w:cs="宋体"/>
          <w:bCs/>
          <w:kern w:val="0"/>
          <w:szCs w:val="21"/>
        </w:rPr>
      </w:pPr>
      <w:r>
        <w:rPr>
          <w:rFonts w:hint="eastAsia" w:ascii="宋体" w:hAnsi="宋体" w:cs="宋体"/>
          <w:bCs/>
          <w:kern w:val="0"/>
          <w:szCs w:val="21"/>
        </w:rPr>
        <w:t>33.1.2供应商的报价均超过了采购预算金额，采购人不能支付的。</w:t>
      </w:r>
    </w:p>
    <w:p>
      <w:pPr>
        <w:widowControl/>
        <w:snapToGrid w:val="0"/>
        <w:spacing w:line="360" w:lineRule="auto"/>
        <w:ind w:firstLine="420" w:firstLineChars="200"/>
        <w:jc w:val="left"/>
        <w:rPr>
          <w:rFonts w:ascii="宋体" w:hAnsi="宋体" w:cs="宋体"/>
          <w:bCs/>
          <w:kern w:val="0"/>
          <w:szCs w:val="21"/>
        </w:rPr>
      </w:pPr>
      <w:r>
        <w:rPr>
          <w:rFonts w:hint="eastAsia" w:ascii="宋体" w:hAnsi="宋体" w:cs="宋体"/>
          <w:bCs/>
          <w:kern w:val="0"/>
          <w:szCs w:val="21"/>
        </w:rPr>
        <w:t>33.1.3因重大变故，采购任务取消的。</w:t>
      </w:r>
    </w:p>
    <w:p>
      <w:pPr>
        <w:snapToGrid w:val="0"/>
        <w:spacing w:line="360" w:lineRule="auto"/>
        <w:ind w:firstLine="420" w:firstLineChars="200"/>
        <w:rPr>
          <w:rFonts w:ascii="宋体" w:hAnsi="宋体" w:cs="宋体"/>
          <w:szCs w:val="21"/>
        </w:rPr>
      </w:pPr>
      <w:r>
        <w:rPr>
          <w:rFonts w:hint="eastAsia" w:ascii="宋体" w:hAnsi="宋体" w:cs="宋体"/>
          <w:bCs/>
          <w:kern w:val="0"/>
          <w:szCs w:val="21"/>
        </w:rPr>
        <w:t>33</w:t>
      </w:r>
      <w:r>
        <w:rPr>
          <w:rFonts w:hint="eastAsia" w:ascii="宋体" w:hAnsi="宋体" w:cs="宋体"/>
          <w:kern w:val="0"/>
          <w:szCs w:val="21"/>
        </w:rPr>
        <w:t xml:space="preserve">.2 </w:t>
      </w:r>
      <w:r>
        <w:rPr>
          <w:rFonts w:hint="eastAsia" w:ascii="宋体" w:hAnsi="宋体" w:cs="宋体"/>
          <w:szCs w:val="21"/>
        </w:rPr>
        <w:t>投标截止后供应商不足3家或通过资格性检查或符合性检查的供应商不足3家的，除采购任务取消情形外，按照以下方式处理：</w:t>
      </w:r>
    </w:p>
    <w:p>
      <w:pPr>
        <w:numPr>
          <w:ilvl w:val="0"/>
          <w:numId w:val="3"/>
        </w:numPr>
        <w:snapToGrid w:val="0"/>
        <w:spacing w:line="360" w:lineRule="auto"/>
        <w:ind w:firstLine="420" w:firstLineChars="200"/>
        <w:rPr>
          <w:rFonts w:ascii="宋体" w:hAnsi="宋体" w:cs="宋体"/>
          <w:szCs w:val="21"/>
        </w:rPr>
      </w:pPr>
      <w:r>
        <w:rPr>
          <w:rFonts w:hint="eastAsia" w:ascii="宋体" w:hAnsi="宋体" w:cs="宋体"/>
          <w:szCs w:val="21"/>
        </w:rPr>
        <w:t>采购文件存在不合理条款或者招标程序不符合规定的，采购人正后依法重新招标；　</w:t>
      </w:r>
    </w:p>
    <w:p>
      <w:pPr>
        <w:snapToGrid w:val="0"/>
        <w:spacing w:line="360" w:lineRule="auto"/>
        <w:ind w:firstLine="420" w:firstLineChars="200"/>
        <w:rPr>
          <w:rFonts w:ascii="宋体" w:hAnsi="宋体" w:cs="宋体"/>
          <w:b/>
          <w:kern w:val="0"/>
          <w:sz w:val="52"/>
          <w:szCs w:val="52"/>
        </w:rPr>
      </w:pPr>
      <w:r>
        <w:rPr>
          <w:rFonts w:hint="eastAsia" w:ascii="宋体" w:hAnsi="宋体" w:cs="宋体"/>
          <w:szCs w:val="21"/>
        </w:rPr>
        <w:t>（2）采购文件没有不合理条款、招标程序符合规定，需要采用其他采购方式采购的，采购人应当依法报财政部门批准。</w:t>
      </w:r>
    </w:p>
    <w:p>
      <w:pPr>
        <w:widowControl/>
        <w:snapToGrid w:val="0"/>
        <w:spacing w:line="360" w:lineRule="auto"/>
        <w:ind w:firstLine="2570" w:firstLineChars="800"/>
        <w:jc w:val="left"/>
        <w:rPr>
          <w:rFonts w:ascii="宋体" w:hAnsi="宋体" w:cs="宋体"/>
          <w:kern w:val="0"/>
          <w:sz w:val="24"/>
        </w:rPr>
      </w:pPr>
      <w:r>
        <w:rPr>
          <w:rFonts w:hint="eastAsia" w:ascii="黑体" w:hAnsi="宋体" w:eastAsia="黑体" w:cs="宋体"/>
          <w:b/>
          <w:bCs/>
          <w:kern w:val="0"/>
          <w:sz w:val="32"/>
          <w:szCs w:val="32"/>
        </w:rPr>
        <w:t>七、合同授予</w:t>
      </w:r>
    </w:p>
    <w:p>
      <w:pPr>
        <w:widowControl/>
        <w:snapToGrid w:val="0"/>
        <w:spacing w:line="360" w:lineRule="auto"/>
        <w:ind w:firstLine="472" w:firstLineChars="224"/>
        <w:rPr>
          <w:rFonts w:ascii="宋体" w:hAnsi="宋体" w:cs="宋体"/>
          <w:kern w:val="0"/>
          <w:szCs w:val="21"/>
        </w:rPr>
      </w:pPr>
      <w:r>
        <w:rPr>
          <w:rFonts w:hint="eastAsia" w:ascii="宋体" w:hAnsi="宋体" w:cs="宋体"/>
          <w:b/>
          <w:bCs/>
          <w:kern w:val="0"/>
          <w:szCs w:val="21"/>
        </w:rPr>
        <w:t>34.合同签订</w:t>
      </w:r>
    </w:p>
    <w:p>
      <w:pPr>
        <w:widowControl/>
        <w:snapToGrid w:val="0"/>
        <w:spacing w:line="360" w:lineRule="auto"/>
        <w:ind w:firstLine="420" w:firstLineChars="200"/>
        <w:jc w:val="left"/>
        <w:rPr>
          <w:rFonts w:ascii="宋体" w:hAnsi="宋体" w:cs="宋体"/>
          <w:kern w:val="0"/>
          <w:szCs w:val="21"/>
          <w:u w:val="single"/>
        </w:rPr>
      </w:pPr>
      <w:bookmarkStart w:id="37" w:name="_Toc8594"/>
      <w:r>
        <w:rPr>
          <w:rFonts w:hint="eastAsia" w:ascii="宋体" w:hAnsi="宋体" w:cs="宋体"/>
          <w:kern w:val="0"/>
          <w:szCs w:val="21"/>
        </w:rPr>
        <w:t>34.1 采购人、中标人自中标通知书发出之日起，在采购文件第三章《供应商须知前附表》规定的时间内，根据采购文件确定的事项和中标人投标文件签订合同。双方所签订的合同不得对采购文件和中标人投标文件作实质性修改。</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34.2 采购文件、采购文件的修改文件、中标人的投标文件、补充或修改的文件及澄清或承诺文件等，均为双方签订合同的组成部分，并与合同一并作为本采购文件所列采购项目的互补性法律文件，与合同具有同等法律效力。</w:t>
      </w:r>
    </w:p>
    <w:p>
      <w:pPr>
        <w:widowControl/>
        <w:snapToGrid w:val="0"/>
        <w:spacing w:line="360" w:lineRule="auto"/>
        <w:ind w:firstLine="420" w:firstLineChars="200"/>
        <w:jc w:val="left"/>
        <w:rPr>
          <w:rFonts w:ascii="宋体" w:hAnsi="宋体" w:cs="宋体"/>
          <w:kern w:val="0"/>
          <w:szCs w:val="21"/>
        </w:rPr>
      </w:pPr>
      <w:r>
        <w:rPr>
          <w:rFonts w:hint="eastAsia" w:ascii="宋体" w:hAnsi="宋体" w:cs="宋体"/>
          <w:kern w:val="0"/>
          <w:szCs w:val="21"/>
        </w:rPr>
        <w:t>34.3 中标人</w:t>
      </w:r>
      <w:r>
        <w:rPr>
          <w:rFonts w:hint="eastAsia" w:cs="宋体"/>
          <w:kern w:val="0"/>
          <w:szCs w:val="21"/>
        </w:rPr>
        <w:t>放弃中标、因不可抗力不能履行合同、不按照采购文件要求提交履约保证金，或者被查实存在影响中标结果的违法行为等情形，不符合中标条件的，</w:t>
      </w:r>
      <w:r>
        <w:rPr>
          <w:rFonts w:hint="eastAsia" w:ascii="宋体" w:hAnsi="宋体" w:cs="宋体"/>
          <w:kern w:val="0"/>
          <w:szCs w:val="21"/>
        </w:rPr>
        <w:t>采购人可以</w:t>
      </w:r>
      <w:r>
        <w:rPr>
          <w:rFonts w:hint="eastAsia" w:cs="宋体"/>
          <w:kern w:val="0"/>
          <w:szCs w:val="21"/>
        </w:rPr>
        <w:t>按照评标委员会提出的中标候选</w:t>
      </w:r>
      <w:r>
        <w:rPr>
          <w:rFonts w:hint="eastAsia" w:ascii="宋体" w:hAnsi="宋体" w:cs="宋体"/>
          <w:kern w:val="0"/>
          <w:szCs w:val="21"/>
        </w:rPr>
        <w:t>人</w:t>
      </w:r>
      <w:r>
        <w:rPr>
          <w:rFonts w:hint="eastAsia" w:cs="宋体"/>
          <w:kern w:val="0"/>
          <w:szCs w:val="21"/>
        </w:rPr>
        <w:t>名单排序依次确定其他中标候选</w:t>
      </w:r>
      <w:r>
        <w:rPr>
          <w:rFonts w:hint="eastAsia" w:ascii="宋体" w:hAnsi="宋体" w:cs="宋体"/>
          <w:kern w:val="0"/>
          <w:szCs w:val="21"/>
        </w:rPr>
        <w:t>人</w:t>
      </w:r>
      <w:r>
        <w:rPr>
          <w:rFonts w:hint="eastAsia" w:cs="宋体"/>
          <w:kern w:val="0"/>
          <w:szCs w:val="21"/>
        </w:rPr>
        <w:t>为中标</w:t>
      </w:r>
      <w:r>
        <w:rPr>
          <w:rFonts w:hint="eastAsia" w:ascii="宋体" w:hAnsi="宋体" w:cs="宋体"/>
          <w:kern w:val="0"/>
          <w:szCs w:val="21"/>
        </w:rPr>
        <w:t>人</w:t>
      </w:r>
      <w:r>
        <w:rPr>
          <w:rFonts w:hint="eastAsia" w:cs="宋体"/>
          <w:kern w:val="0"/>
          <w:szCs w:val="21"/>
        </w:rPr>
        <w:t>，也可以重新招标。</w:t>
      </w:r>
    </w:p>
    <w:bookmarkEnd w:id="37"/>
    <w:p>
      <w:bookmarkStart w:id="38" w:name="_Toc4700"/>
      <w:bookmarkStart w:id="39" w:name="_Toc16669"/>
      <w:r>
        <w:br w:type="page"/>
      </w:r>
    </w:p>
    <w:p>
      <w:pPr>
        <w:widowControl/>
        <w:snapToGrid w:val="0"/>
        <w:jc w:val="center"/>
        <w:outlineLvl w:val="0"/>
        <w:rPr>
          <w:rFonts w:ascii="宋体" w:hAnsi="宋体" w:cs="宋体"/>
          <w:kern w:val="0"/>
          <w:sz w:val="24"/>
        </w:rPr>
      </w:pPr>
      <w:bookmarkStart w:id="40" w:name="_Toc9022"/>
      <w:r>
        <w:rPr>
          <w:rFonts w:hint="eastAsia" w:ascii="黑体" w:hAnsi="宋体" w:eastAsia="黑体" w:cs="宋体"/>
          <w:b/>
          <w:bCs/>
          <w:kern w:val="0"/>
          <w:sz w:val="32"/>
          <w:szCs w:val="32"/>
        </w:rPr>
        <w:t>第四章  评标办法及评分标准</w:t>
      </w:r>
      <w:bookmarkEnd w:id="38"/>
      <w:bookmarkEnd w:id="40"/>
    </w:p>
    <w:p/>
    <w:p>
      <w:pPr>
        <w:tabs>
          <w:tab w:val="left" w:pos="1620"/>
        </w:tabs>
        <w:snapToGrid w:val="0"/>
        <w:spacing w:line="360" w:lineRule="auto"/>
        <w:rPr>
          <w:rFonts w:ascii="宋体" w:hAnsi="宋体" w:cs="宋体"/>
          <w:szCs w:val="21"/>
        </w:rPr>
      </w:pPr>
      <w:r>
        <w:rPr>
          <w:rFonts w:hint="eastAsia" w:ascii="宋体" w:hAnsi="宋体" w:cs="宋体"/>
          <w:szCs w:val="21"/>
        </w:rPr>
        <w:t>（一）评标原则</w:t>
      </w:r>
    </w:p>
    <w:p>
      <w:pPr>
        <w:tabs>
          <w:tab w:val="left" w:pos="1620"/>
        </w:tabs>
        <w:snapToGrid w:val="0"/>
        <w:spacing w:line="360" w:lineRule="auto"/>
        <w:ind w:firstLine="462" w:firstLineChars="220"/>
        <w:rPr>
          <w:rFonts w:ascii="宋体" w:hAnsi="宋体" w:cs="宋体"/>
          <w:szCs w:val="21"/>
        </w:rPr>
      </w:pPr>
      <w:r>
        <w:rPr>
          <w:rFonts w:hint="eastAsia" w:ascii="宋体" w:hAnsi="宋体" w:cs="宋体"/>
          <w:szCs w:val="21"/>
        </w:rPr>
        <w:t>按照“公平、公正”的原则对待所有供应商，按照采购文件的相关规定进行评标、定标。</w:t>
      </w:r>
    </w:p>
    <w:p>
      <w:pPr>
        <w:tabs>
          <w:tab w:val="left" w:pos="1620"/>
        </w:tabs>
        <w:snapToGrid w:val="0"/>
        <w:spacing w:line="360" w:lineRule="auto"/>
        <w:rPr>
          <w:rFonts w:ascii="宋体" w:hAnsi="宋体" w:cs="宋体"/>
          <w:szCs w:val="21"/>
        </w:rPr>
      </w:pPr>
      <w:r>
        <w:rPr>
          <w:rFonts w:hint="eastAsia" w:ascii="宋体" w:hAnsi="宋体" w:cs="宋体"/>
          <w:szCs w:val="21"/>
        </w:rPr>
        <w:t>（二）评标办法</w:t>
      </w:r>
    </w:p>
    <w:p>
      <w:pPr>
        <w:tabs>
          <w:tab w:val="left" w:pos="1620"/>
        </w:tabs>
        <w:snapToGrid w:val="0"/>
        <w:spacing w:line="360" w:lineRule="auto"/>
        <w:ind w:firstLine="462" w:firstLineChars="220"/>
        <w:rPr>
          <w:rFonts w:ascii="宋体" w:hAnsi="宋体" w:cs="宋体"/>
          <w:szCs w:val="21"/>
        </w:rPr>
      </w:pPr>
      <w:r>
        <w:rPr>
          <w:rFonts w:hint="eastAsia" w:ascii="宋体" w:hAnsi="宋体" w:cs="宋体"/>
          <w:szCs w:val="21"/>
        </w:rPr>
        <w:t>1．本项目采用综合评分法，总分为100分。</w:t>
      </w:r>
    </w:p>
    <w:p>
      <w:pPr>
        <w:tabs>
          <w:tab w:val="left" w:pos="1620"/>
        </w:tabs>
        <w:snapToGrid w:val="0"/>
        <w:spacing w:line="360" w:lineRule="auto"/>
        <w:ind w:firstLine="462" w:firstLineChars="220"/>
        <w:rPr>
          <w:rFonts w:ascii="宋体" w:hAnsi="宋体" w:cs="宋体"/>
          <w:szCs w:val="21"/>
        </w:rPr>
      </w:pPr>
      <w:r>
        <w:rPr>
          <w:rFonts w:hint="eastAsia" w:ascii="宋体" w:hAnsi="宋体" w:cs="宋体"/>
          <w:szCs w:val="21"/>
        </w:rPr>
        <w:t>2．评标委员会按照采购文件中规定的评标方法和标准，对投标文件进行综合比较与评价。</w:t>
      </w:r>
    </w:p>
    <w:p>
      <w:pPr>
        <w:tabs>
          <w:tab w:val="left" w:pos="1620"/>
        </w:tabs>
        <w:snapToGrid w:val="0"/>
        <w:spacing w:line="360" w:lineRule="auto"/>
        <w:ind w:firstLine="462" w:firstLineChars="220"/>
        <w:rPr>
          <w:rFonts w:ascii="宋体" w:hAnsi="宋体" w:cs="宋体"/>
          <w:szCs w:val="21"/>
        </w:rPr>
      </w:pPr>
      <w:r>
        <w:rPr>
          <w:rFonts w:hint="eastAsia" w:ascii="宋体" w:hAnsi="宋体" w:cs="宋体"/>
          <w:szCs w:val="21"/>
        </w:rPr>
        <w:t>3.评标结果按评审后得分由高到低顺序排列，得分相同的，按投标报价由低到高顺序排列。得分且投标报价相同的，按技术部分得分顺序排列。</w:t>
      </w:r>
    </w:p>
    <w:p>
      <w:pPr>
        <w:tabs>
          <w:tab w:val="left" w:pos="1620"/>
        </w:tabs>
        <w:snapToGrid w:val="0"/>
        <w:spacing w:line="360" w:lineRule="auto"/>
        <w:ind w:firstLine="462" w:firstLineChars="220"/>
        <w:rPr>
          <w:rFonts w:ascii="宋体" w:hAnsi="宋体" w:cs="宋体"/>
          <w:szCs w:val="21"/>
        </w:rPr>
      </w:pPr>
      <w:r>
        <w:rPr>
          <w:rFonts w:hint="eastAsia" w:ascii="宋体" w:hAnsi="宋体" w:cs="宋体"/>
          <w:szCs w:val="21"/>
        </w:rPr>
        <w:t>4.投标文件满足采购文件全部实质性要求，且评审得分最高的供应商为第一中标候选人。</w:t>
      </w:r>
    </w:p>
    <w:p>
      <w:pPr>
        <w:tabs>
          <w:tab w:val="left" w:pos="1620"/>
        </w:tabs>
        <w:snapToGrid w:val="0"/>
        <w:spacing w:line="360" w:lineRule="auto"/>
        <w:rPr>
          <w:rFonts w:ascii="宋体" w:hAnsi="宋体" w:cs="宋体"/>
          <w:szCs w:val="21"/>
        </w:rPr>
      </w:pPr>
      <w:r>
        <w:rPr>
          <w:rFonts w:hint="eastAsia" w:ascii="宋体" w:hAnsi="宋体" w:cs="宋体"/>
          <w:szCs w:val="21"/>
        </w:rPr>
        <w:t>（三）评标程序</w:t>
      </w:r>
    </w:p>
    <w:p>
      <w:pPr>
        <w:numPr>
          <w:ilvl w:val="0"/>
          <w:numId w:val="4"/>
        </w:numPr>
        <w:snapToGrid w:val="0"/>
        <w:spacing w:line="360" w:lineRule="auto"/>
        <w:ind w:firstLine="420" w:firstLineChars="200"/>
        <w:rPr>
          <w:rFonts w:ascii="宋体" w:hAnsi="宋体" w:cs="宋体"/>
          <w:szCs w:val="21"/>
        </w:rPr>
      </w:pPr>
      <w:r>
        <w:rPr>
          <w:rFonts w:hint="eastAsia" w:ascii="宋体" w:hAnsi="宋体" w:cs="宋体"/>
          <w:szCs w:val="21"/>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1473"/>
        <w:gridCol w:w="6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ign w:val="center"/>
          </w:tcPr>
          <w:p>
            <w:pPr>
              <w:tabs>
                <w:tab w:val="left" w:pos="3000"/>
              </w:tabs>
              <w:snapToGrid w:val="0"/>
              <w:jc w:val="center"/>
              <w:rPr>
                <w:rFonts w:ascii="宋体" w:hAnsi="宋体" w:cs="宋体"/>
                <w:szCs w:val="21"/>
              </w:rPr>
            </w:pPr>
            <w:r>
              <w:rPr>
                <w:rFonts w:hint="eastAsia" w:ascii="宋体" w:hAnsi="宋体" w:cs="宋体"/>
                <w:szCs w:val="21"/>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ign w:val="center"/>
          </w:tcPr>
          <w:p>
            <w:pPr>
              <w:snapToGrid w:val="0"/>
              <w:spacing w:line="320" w:lineRule="exact"/>
              <w:jc w:val="left"/>
              <w:rPr>
                <w:rFonts w:ascii="宋体" w:hAnsi="宋体" w:cs="宋体"/>
                <w:szCs w:val="21"/>
              </w:rPr>
            </w:pPr>
            <w:r>
              <w:rPr>
                <w:rFonts w:hint="eastAsia" w:ascii="宋体" w:hAnsi="宋体" w:cs="宋体"/>
                <w:szCs w:val="21"/>
              </w:rPr>
              <w:t>价格标部分 (30分)</w:t>
            </w:r>
          </w:p>
        </w:tc>
        <w:tc>
          <w:tcPr>
            <w:tcW w:w="8243" w:type="dxa"/>
            <w:gridSpan w:val="2"/>
            <w:noWrap/>
            <w:vAlign w:val="center"/>
          </w:tcPr>
          <w:p>
            <w:pPr>
              <w:pStyle w:val="4"/>
              <w:snapToGrid w:val="0"/>
              <w:spacing w:line="320" w:lineRule="exact"/>
              <w:jc w:val="both"/>
              <w:rPr>
                <w:rFonts w:hAnsi="宋体"/>
                <w:color w:val="auto"/>
                <w:sz w:val="21"/>
                <w:szCs w:val="21"/>
              </w:rPr>
            </w:pPr>
            <w:r>
              <w:rPr>
                <w:rFonts w:hint="eastAsia" w:hAnsi="宋体"/>
                <w:color w:val="auto"/>
                <w:sz w:val="21"/>
                <w:szCs w:val="21"/>
              </w:rPr>
              <w:t>说明：当评标委员会发现供应商的投标报价明显低于其他投标报价，使其投标报价可能低于其个别成本的，评标委员会可对其质询，并要求该供应商做出书面说明和提供相关的证明材料；该供应商不能合理说明或提供证明材料的，评标委员会应按无效投标处理。</w:t>
            </w:r>
          </w:p>
          <w:p>
            <w:pPr>
              <w:pStyle w:val="4"/>
              <w:snapToGrid w:val="0"/>
              <w:spacing w:line="320" w:lineRule="exact"/>
              <w:jc w:val="both"/>
              <w:rPr>
                <w:rFonts w:hAnsi="宋体"/>
                <w:color w:val="auto"/>
                <w:sz w:val="21"/>
                <w:szCs w:val="21"/>
              </w:rPr>
            </w:pPr>
            <w:r>
              <w:rPr>
                <w:rFonts w:hint="eastAsia" w:hAnsi="宋体"/>
                <w:color w:val="auto"/>
                <w:sz w:val="21"/>
                <w:szCs w:val="21"/>
              </w:rPr>
              <w:t>有效投标报价：投标报价不高于采购预算价的为有效投标报价。</w:t>
            </w:r>
          </w:p>
          <w:p>
            <w:pPr>
              <w:pStyle w:val="4"/>
              <w:snapToGrid w:val="0"/>
              <w:spacing w:line="320" w:lineRule="exact"/>
              <w:jc w:val="both"/>
              <w:rPr>
                <w:rFonts w:hAnsi="宋体"/>
                <w:color w:val="auto"/>
                <w:sz w:val="21"/>
                <w:szCs w:val="21"/>
              </w:rPr>
            </w:pPr>
            <w:r>
              <w:rPr>
                <w:rFonts w:hint="eastAsia" w:hAnsi="宋体"/>
                <w:color w:val="auto"/>
                <w:sz w:val="21"/>
                <w:szCs w:val="21"/>
              </w:rPr>
              <w:t>评标基准值的确定：满足采购文件要求且投标价格最低的有效投标报价为评标基准价。</w:t>
            </w:r>
          </w:p>
          <w:p>
            <w:pPr>
              <w:rPr>
                <w:rFonts w:ascii="宋体" w:hAnsi="宋体" w:cs="宋体"/>
              </w:rPr>
            </w:pPr>
            <w:r>
              <w:rPr>
                <w:rFonts w:hint="eastAsia" w:ascii="宋体" w:hAnsi="宋体" w:cs="宋体"/>
                <w:szCs w:val="21"/>
              </w:rPr>
              <w:t>投标报价得分=（评标基准价/有效投标报价）×30分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1239" w:type="dxa"/>
            <w:vMerge w:val="restart"/>
            <w:noWrap/>
            <w:vAlign w:val="center"/>
          </w:tcPr>
          <w:p>
            <w:pPr>
              <w:snapToGrid w:val="0"/>
              <w:spacing w:line="320" w:lineRule="exact"/>
              <w:jc w:val="center"/>
              <w:rPr>
                <w:rFonts w:ascii="宋体" w:hAnsi="宋体" w:cs="宋体"/>
                <w:szCs w:val="21"/>
              </w:rPr>
            </w:pPr>
            <w:r>
              <w:rPr>
                <w:rFonts w:hint="eastAsia" w:ascii="宋体" w:hAnsi="宋体" w:cs="宋体"/>
                <w:szCs w:val="21"/>
              </w:rPr>
              <w:t>服务质量</w:t>
            </w:r>
          </w:p>
          <w:p>
            <w:pPr>
              <w:snapToGrid w:val="0"/>
              <w:spacing w:line="320" w:lineRule="exact"/>
              <w:jc w:val="center"/>
              <w:rPr>
                <w:rFonts w:ascii="宋体" w:hAnsi="宋体" w:cs="宋体"/>
                <w:szCs w:val="21"/>
              </w:rPr>
            </w:pPr>
            <w:r>
              <w:rPr>
                <w:rFonts w:hint="eastAsia" w:ascii="宋体" w:hAnsi="宋体" w:cs="宋体"/>
                <w:szCs w:val="21"/>
              </w:rPr>
              <w:t>（45分）</w:t>
            </w:r>
          </w:p>
        </w:tc>
        <w:tc>
          <w:tcPr>
            <w:tcW w:w="1473" w:type="dxa"/>
            <w:noWrap/>
            <w:vAlign w:val="center"/>
          </w:tcPr>
          <w:p>
            <w:pPr>
              <w:snapToGrid w:val="0"/>
              <w:spacing w:line="320" w:lineRule="exact"/>
              <w:jc w:val="center"/>
              <w:rPr>
                <w:rFonts w:ascii="宋体" w:hAnsi="宋体" w:cs="宋体"/>
                <w:szCs w:val="21"/>
              </w:rPr>
            </w:pPr>
            <w:r>
              <w:rPr>
                <w:rFonts w:hint="eastAsia" w:ascii="宋体" w:hAnsi="宋体" w:cs="宋体"/>
                <w:szCs w:val="21"/>
              </w:rPr>
              <w:t>1.服务能力的响应程度(30分）</w:t>
            </w:r>
          </w:p>
        </w:tc>
        <w:tc>
          <w:tcPr>
            <w:tcW w:w="6770" w:type="dxa"/>
            <w:noWrap/>
            <w:vAlign w:val="center"/>
          </w:tcPr>
          <w:p>
            <w:pPr>
              <w:widowControl/>
              <w:snapToGrid w:val="0"/>
              <w:spacing w:line="320" w:lineRule="exact"/>
              <w:rPr>
                <w:rFonts w:ascii="宋体" w:hAnsi="宋体" w:cs="宋体"/>
                <w:szCs w:val="21"/>
              </w:rPr>
            </w:pPr>
            <w:r>
              <w:rPr>
                <w:rFonts w:hint="eastAsia" w:ascii="宋体" w:hAnsi="宋体" w:cs="宋体"/>
                <w:szCs w:val="21"/>
              </w:rPr>
              <w:t>完全满足招标文件第二章 采购需求 二、技术要求”的得30分；一项不满足扣4分。得分为0，则响应无效。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1239" w:type="dxa"/>
            <w:vMerge w:val="continue"/>
            <w:noWrap/>
            <w:vAlign w:val="center"/>
          </w:tcPr>
          <w:p>
            <w:pPr>
              <w:snapToGrid w:val="0"/>
              <w:spacing w:line="320" w:lineRule="exact"/>
              <w:jc w:val="center"/>
              <w:rPr>
                <w:rFonts w:ascii="宋体" w:hAnsi="宋体" w:cs="宋体"/>
                <w:szCs w:val="21"/>
              </w:rPr>
            </w:pPr>
          </w:p>
        </w:tc>
        <w:tc>
          <w:tcPr>
            <w:tcW w:w="1473" w:type="dxa"/>
            <w:noWrap/>
            <w:vAlign w:val="center"/>
          </w:tcPr>
          <w:p>
            <w:pPr>
              <w:snapToGrid w:val="0"/>
              <w:spacing w:line="320" w:lineRule="exact"/>
              <w:jc w:val="center"/>
              <w:rPr>
                <w:rFonts w:ascii="宋体" w:hAnsi="宋体" w:cs="宋体"/>
                <w:szCs w:val="21"/>
                <w:highlight w:val="yellow"/>
              </w:rPr>
            </w:pPr>
            <w:r>
              <w:rPr>
                <w:rFonts w:hint="eastAsia" w:ascii="宋体" w:hAnsi="宋体" w:cs="宋体"/>
                <w:szCs w:val="21"/>
              </w:rPr>
              <w:t>2.实施计划（15分）</w:t>
            </w:r>
          </w:p>
        </w:tc>
        <w:tc>
          <w:tcPr>
            <w:tcW w:w="6770" w:type="dxa"/>
            <w:noWrap/>
            <w:vAlign w:val="center"/>
          </w:tcPr>
          <w:p>
            <w:pPr>
              <w:widowControl/>
              <w:snapToGrid w:val="0"/>
              <w:spacing w:line="320" w:lineRule="exact"/>
              <w:rPr>
                <w:rFonts w:ascii="宋体" w:hAnsi="宋体" w:cs="宋体"/>
                <w:szCs w:val="21"/>
              </w:rPr>
            </w:pPr>
            <w:r>
              <w:rPr>
                <w:rFonts w:hint="eastAsia" w:ascii="宋体" w:hAnsi="宋体" w:cs="宋体"/>
                <w:szCs w:val="21"/>
              </w:rPr>
              <w:t>根据供应商制定的年度服务报告、维修报告、维保报告、巡查报告制度，设备常见故障分析及预防措施，设备维保应急响应方案。</w:t>
            </w:r>
          </w:p>
          <w:p>
            <w:pPr>
              <w:widowControl/>
              <w:snapToGrid w:val="0"/>
              <w:spacing w:line="320" w:lineRule="exact"/>
              <w:rPr>
                <w:rFonts w:ascii="宋体" w:hAnsi="宋体" w:cs="宋体"/>
                <w:highlight w:val="yellow"/>
              </w:rPr>
            </w:pPr>
            <w:r>
              <w:rPr>
                <w:rFonts w:hint="eastAsia" w:ascii="宋体" w:hAnsi="宋体" w:cs="宋体"/>
                <w:szCs w:val="21"/>
              </w:rPr>
              <w:t>以上内容具体、完善、合理性程度强得11-15分，具体、完善、合理性程度一般得6-10分，具体、完善、合理性程度差得1-5分，缺项得0分。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9" w:type="dxa"/>
            <w:vMerge w:val="restart"/>
            <w:noWrap/>
            <w:vAlign w:val="center"/>
          </w:tcPr>
          <w:p>
            <w:pPr>
              <w:snapToGrid w:val="0"/>
              <w:spacing w:line="320" w:lineRule="exact"/>
              <w:jc w:val="center"/>
              <w:rPr>
                <w:rFonts w:ascii="宋体" w:hAnsi="宋体" w:cs="宋体"/>
                <w:szCs w:val="21"/>
              </w:rPr>
            </w:pPr>
            <w:r>
              <w:rPr>
                <w:rFonts w:hint="eastAsia" w:ascii="宋体" w:hAnsi="宋体" w:cs="宋体"/>
                <w:szCs w:val="21"/>
              </w:rPr>
              <w:t>商务评价</w:t>
            </w:r>
          </w:p>
          <w:p>
            <w:pPr>
              <w:snapToGrid w:val="0"/>
              <w:spacing w:line="320" w:lineRule="exact"/>
              <w:jc w:val="center"/>
              <w:rPr>
                <w:rFonts w:ascii="宋体" w:hAnsi="宋体" w:cs="宋体"/>
                <w:szCs w:val="21"/>
              </w:rPr>
            </w:pPr>
            <w:r>
              <w:rPr>
                <w:rFonts w:hint="eastAsia" w:ascii="宋体" w:hAnsi="宋体" w:cs="宋体"/>
                <w:szCs w:val="21"/>
              </w:rPr>
              <w:t>(25分)</w:t>
            </w:r>
          </w:p>
        </w:tc>
        <w:tc>
          <w:tcPr>
            <w:tcW w:w="1473" w:type="dxa"/>
            <w:tcBorders>
              <w:top w:val="single" w:color="auto" w:sz="4" w:space="0"/>
            </w:tcBorders>
            <w:noWrap/>
            <w:vAlign w:val="center"/>
          </w:tcPr>
          <w:p>
            <w:pPr>
              <w:snapToGrid w:val="0"/>
              <w:spacing w:line="320" w:lineRule="exact"/>
              <w:jc w:val="center"/>
              <w:rPr>
                <w:rFonts w:ascii="宋体" w:hAnsi="宋体" w:cs="宋体"/>
                <w:szCs w:val="21"/>
              </w:rPr>
            </w:pPr>
            <w:r>
              <w:rPr>
                <w:rFonts w:hint="eastAsia" w:ascii="宋体" w:hAnsi="宋体" w:cs="宋体"/>
                <w:szCs w:val="21"/>
              </w:rPr>
              <w:t>1.服务团队</w:t>
            </w:r>
          </w:p>
          <w:p>
            <w:pPr>
              <w:snapToGrid w:val="0"/>
              <w:spacing w:line="320" w:lineRule="exact"/>
              <w:jc w:val="center"/>
              <w:rPr>
                <w:rFonts w:ascii="宋体" w:hAnsi="宋体" w:cs="宋体"/>
                <w:szCs w:val="21"/>
              </w:rPr>
            </w:pPr>
            <w:r>
              <w:rPr>
                <w:rFonts w:hint="eastAsia" w:ascii="宋体" w:hAnsi="宋体" w:cs="宋体"/>
                <w:szCs w:val="21"/>
              </w:rPr>
              <w:t>（10分）</w:t>
            </w:r>
          </w:p>
        </w:tc>
        <w:tc>
          <w:tcPr>
            <w:tcW w:w="6770" w:type="dxa"/>
            <w:noWrap/>
            <w:vAlign w:val="center"/>
          </w:tcPr>
          <w:p>
            <w:pPr>
              <w:widowControl/>
              <w:snapToGrid w:val="0"/>
              <w:spacing w:line="320" w:lineRule="exact"/>
              <w:rPr>
                <w:rFonts w:ascii="宋体" w:hAnsi="宋体" w:cs="宋体"/>
              </w:rPr>
            </w:pPr>
            <w:r>
              <w:rPr>
                <w:rFonts w:hint="eastAsia" w:ascii="宋体" w:hAnsi="宋体" w:cs="宋体"/>
              </w:rPr>
              <w:t>服务团队组织结构合理，人员分工及职责明确、持证上岗。</w:t>
            </w:r>
          </w:p>
          <w:p>
            <w:pPr>
              <w:widowControl/>
              <w:snapToGrid w:val="0"/>
              <w:spacing w:line="320" w:lineRule="exact"/>
              <w:rPr>
                <w:rFonts w:ascii="宋体" w:hAnsi="宋体" w:cs="宋体"/>
                <w:kern w:val="0"/>
                <w:szCs w:val="21"/>
              </w:rPr>
            </w:pPr>
            <w:r>
              <w:rPr>
                <w:rFonts w:hint="eastAsia" w:ascii="宋体" w:hAnsi="宋体" w:cs="宋体"/>
              </w:rPr>
              <w:t>完全满足采购需求的得7-10分；基本满足的得4-6分；一般满足采购的得1-3分。缺项得0分。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239" w:type="dxa"/>
            <w:vMerge w:val="continue"/>
            <w:noWrap/>
            <w:vAlign w:val="center"/>
          </w:tcPr>
          <w:p>
            <w:pPr>
              <w:snapToGrid w:val="0"/>
              <w:spacing w:line="320" w:lineRule="exact"/>
              <w:jc w:val="center"/>
              <w:rPr>
                <w:rFonts w:ascii="宋体" w:hAnsi="宋体" w:cs="宋体"/>
                <w:szCs w:val="21"/>
              </w:rPr>
            </w:pPr>
          </w:p>
        </w:tc>
        <w:tc>
          <w:tcPr>
            <w:tcW w:w="1473" w:type="dxa"/>
            <w:tcBorders>
              <w:top w:val="single" w:color="auto" w:sz="4" w:space="0"/>
            </w:tcBorders>
            <w:noWrap/>
            <w:vAlign w:val="center"/>
          </w:tcPr>
          <w:p>
            <w:pPr>
              <w:snapToGrid w:val="0"/>
              <w:spacing w:line="320" w:lineRule="exact"/>
              <w:jc w:val="center"/>
              <w:rPr>
                <w:rFonts w:ascii="宋体" w:hAnsi="宋体" w:cs="宋体"/>
                <w:szCs w:val="21"/>
              </w:rPr>
            </w:pPr>
            <w:r>
              <w:rPr>
                <w:rFonts w:hint="eastAsia" w:ascii="宋体" w:hAnsi="宋体" w:cs="宋体"/>
                <w:szCs w:val="21"/>
              </w:rPr>
              <w:t>2.类似业绩（4分）</w:t>
            </w:r>
          </w:p>
        </w:tc>
        <w:tc>
          <w:tcPr>
            <w:tcW w:w="6770" w:type="dxa"/>
            <w:noWrap/>
            <w:vAlign w:val="center"/>
          </w:tcPr>
          <w:p>
            <w:pPr>
              <w:widowControl/>
              <w:snapToGrid w:val="0"/>
              <w:spacing w:line="320" w:lineRule="exact"/>
              <w:rPr>
                <w:rFonts w:ascii="宋体" w:hAnsi="宋体" w:cs="宋体"/>
              </w:rPr>
            </w:pPr>
            <w:r>
              <w:rPr>
                <w:rFonts w:hint="eastAsia" w:ascii="宋体" w:hAnsi="宋体" w:cs="宋体"/>
              </w:rPr>
              <w:t>供应商2020年1月1日具有的类似服务业绩(以合同文件为准），每提供一份得2分，最多得4分。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1239" w:type="dxa"/>
            <w:vMerge w:val="continue"/>
            <w:noWrap/>
            <w:vAlign w:val="center"/>
          </w:tcPr>
          <w:p>
            <w:pPr>
              <w:snapToGrid w:val="0"/>
              <w:spacing w:line="320" w:lineRule="exact"/>
              <w:jc w:val="center"/>
              <w:rPr>
                <w:rFonts w:ascii="宋体" w:hAnsi="宋体" w:cs="宋体"/>
                <w:szCs w:val="21"/>
              </w:rPr>
            </w:pPr>
          </w:p>
        </w:tc>
        <w:tc>
          <w:tcPr>
            <w:tcW w:w="1473" w:type="dxa"/>
            <w:noWrap/>
            <w:vAlign w:val="center"/>
          </w:tcPr>
          <w:p>
            <w:pPr>
              <w:snapToGrid w:val="0"/>
              <w:spacing w:line="320" w:lineRule="exact"/>
              <w:jc w:val="center"/>
              <w:rPr>
                <w:rFonts w:ascii="宋体" w:hAnsi="宋体" w:cs="宋体"/>
                <w:szCs w:val="21"/>
              </w:rPr>
            </w:pPr>
            <w:r>
              <w:rPr>
                <w:rFonts w:hint="eastAsia" w:ascii="宋体" w:hAnsi="宋体" w:cs="宋体"/>
                <w:szCs w:val="21"/>
              </w:rPr>
              <w:t>3.售后服务</w:t>
            </w:r>
          </w:p>
          <w:p>
            <w:pPr>
              <w:snapToGrid w:val="0"/>
              <w:spacing w:line="320" w:lineRule="exact"/>
              <w:jc w:val="center"/>
              <w:rPr>
                <w:rFonts w:ascii="宋体" w:hAnsi="宋体" w:cs="宋体"/>
                <w:szCs w:val="21"/>
              </w:rPr>
            </w:pPr>
            <w:r>
              <w:rPr>
                <w:rFonts w:hint="eastAsia" w:ascii="宋体" w:hAnsi="宋体" w:cs="宋体"/>
                <w:szCs w:val="21"/>
              </w:rPr>
              <w:t>(11分)</w:t>
            </w:r>
          </w:p>
        </w:tc>
        <w:tc>
          <w:tcPr>
            <w:tcW w:w="6770" w:type="dxa"/>
            <w:noWrap/>
            <w:vAlign w:val="center"/>
          </w:tcPr>
          <w:p>
            <w:pPr>
              <w:widowControl/>
              <w:snapToGrid w:val="0"/>
              <w:spacing w:line="320" w:lineRule="exact"/>
              <w:jc w:val="left"/>
              <w:rPr>
                <w:rFonts w:ascii="宋体" w:hAnsi="宋体" w:cs="宋体"/>
              </w:rPr>
            </w:pPr>
            <w:r>
              <w:rPr>
                <w:rFonts w:hint="eastAsia" w:ascii="宋体" w:hAnsi="宋体" w:cs="宋体"/>
              </w:rPr>
              <w:t>供应商服务网点设立情况（提供专业技术人员联系方式和服务站地址）、培训方案、服务及时率、服务到位程度及增值服务等；</w:t>
            </w:r>
          </w:p>
          <w:p>
            <w:pPr>
              <w:widowControl/>
              <w:snapToGrid w:val="0"/>
              <w:spacing w:line="320" w:lineRule="exact"/>
              <w:jc w:val="left"/>
              <w:rPr>
                <w:rFonts w:ascii="宋体" w:hAnsi="宋体" w:cs="宋体"/>
              </w:rPr>
            </w:pPr>
            <w:r>
              <w:rPr>
                <w:rFonts w:hint="eastAsia" w:ascii="宋体" w:hAnsi="宋体" w:cs="宋体"/>
              </w:rPr>
              <w:t>以上内容具体、完善、合理性程度强得8-11分，具体、完善、合理性程度一般得4-7分，具体、完善、合理性程度差得1-3分，缺项得0分。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239" w:type="dxa"/>
            <w:noWrap/>
          </w:tcPr>
          <w:p>
            <w:pPr>
              <w:snapToGrid w:val="0"/>
              <w:spacing w:line="320" w:lineRule="exact"/>
              <w:jc w:val="center"/>
              <w:rPr>
                <w:rFonts w:ascii="宋体" w:hAnsi="宋体" w:cs="宋体"/>
                <w:szCs w:val="21"/>
              </w:rPr>
            </w:pPr>
            <w:r>
              <w:rPr>
                <w:rFonts w:hint="eastAsia" w:ascii="宋体" w:hAnsi="宋体" w:cs="宋体"/>
                <w:szCs w:val="21"/>
              </w:rPr>
              <w:t>得分的计算</w:t>
            </w:r>
          </w:p>
        </w:tc>
        <w:tc>
          <w:tcPr>
            <w:tcW w:w="8243" w:type="dxa"/>
            <w:gridSpan w:val="2"/>
            <w:noWrap/>
            <w:vAlign w:val="center"/>
          </w:tcPr>
          <w:p>
            <w:pPr>
              <w:snapToGrid w:val="0"/>
              <w:spacing w:line="320" w:lineRule="exact"/>
              <w:rPr>
                <w:rFonts w:ascii="宋体" w:hAnsi="宋体" w:cs="宋体"/>
                <w:szCs w:val="21"/>
              </w:rPr>
            </w:pPr>
            <w:r>
              <w:rPr>
                <w:rFonts w:hint="eastAsia" w:ascii="宋体" w:hAnsi="宋体" w:cs="宋体"/>
                <w:szCs w:val="21"/>
              </w:rPr>
              <w:t>评标委员会成员评分=各项评分因素的汇总得分。</w:t>
            </w:r>
          </w:p>
          <w:p>
            <w:pPr>
              <w:snapToGrid w:val="0"/>
              <w:spacing w:line="320" w:lineRule="exact"/>
              <w:rPr>
                <w:rFonts w:ascii="宋体" w:hAnsi="宋体" w:cs="宋体"/>
                <w:szCs w:val="21"/>
              </w:rPr>
            </w:pPr>
            <w:r>
              <w:rPr>
                <w:rFonts w:hint="eastAsia" w:ascii="宋体" w:hAnsi="宋体" w:cs="宋体"/>
                <w:szCs w:val="21"/>
              </w:rPr>
              <w:t>评标总得分=评标委员会所有成员合计评分/评标委员会组成人员数。</w:t>
            </w:r>
          </w:p>
        </w:tc>
      </w:tr>
      <w:bookmarkEnd w:id="39"/>
    </w:tbl>
    <w:p>
      <w:pPr>
        <w:pStyle w:val="2"/>
        <w:snapToGrid w:val="0"/>
        <w:spacing w:before="0" w:after="0" w:line="480" w:lineRule="auto"/>
        <w:jc w:val="center"/>
        <w:rPr>
          <w:sz w:val="28"/>
          <w:szCs w:val="28"/>
          <w:highlight w:val="yellow"/>
        </w:rPr>
      </w:pPr>
      <w:bookmarkStart w:id="41" w:name="_Toc28988"/>
      <w:bookmarkStart w:id="42" w:name="_Toc1482"/>
      <w:bookmarkStart w:id="43" w:name="_Toc1947"/>
      <w:bookmarkStart w:id="44" w:name="_Toc326786897"/>
      <w:bookmarkStart w:id="45" w:name="_Toc256519703"/>
      <w:r>
        <w:rPr>
          <w:rFonts w:hint="eastAsia"/>
          <w:sz w:val="28"/>
          <w:szCs w:val="28"/>
        </w:rPr>
        <w:t>第五章  采购合同</w:t>
      </w:r>
      <w:bookmarkEnd w:id="41"/>
    </w:p>
    <w:p>
      <w:pPr>
        <w:snapToGrid w:val="0"/>
        <w:spacing w:line="360" w:lineRule="auto"/>
        <w:jc w:val="center"/>
        <w:rPr>
          <w:rFonts w:ascii="宋体" w:hAnsi="宋体"/>
          <w:szCs w:val="21"/>
        </w:rPr>
      </w:pPr>
      <w:r>
        <w:rPr>
          <w:rFonts w:hint="eastAsia" w:ascii="宋体" w:hAnsi="宋体"/>
          <w:szCs w:val="21"/>
        </w:rPr>
        <w:t>（以实际合同为准）</w:t>
      </w:r>
    </w:p>
    <w:p>
      <w:pPr>
        <w:rPr>
          <w:sz w:val="32"/>
          <w:szCs w:val="32"/>
        </w:rPr>
      </w:pPr>
    </w:p>
    <w:p>
      <w:r>
        <w:br w:type="page"/>
      </w:r>
    </w:p>
    <w:p>
      <w:pPr>
        <w:pStyle w:val="30"/>
        <w:ind w:firstLine="210"/>
      </w:pPr>
    </w:p>
    <w:p>
      <w:pPr>
        <w:pStyle w:val="2"/>
        <w:jc w:val="center"/>
        <w:rPr>
          <w:rFonts w:ascii="宋体" w:hAnsi="宋体" w:cs="宋体"/>
          <w:kern w:val="0"/>
        </w:rPr>
      </w:pPr>
      <w:bookmarkStart w:id="46" w:name="_Toc2638"/>
      <w:r>
        <w:rPr>
          <w:rFonts w:hint="eastAsia"/>
          <w:sz w:val="32"/>
          <w:szCs w:val="32"/>
        </w:rPr>
        <w:t>第六章  投标文件格式</w:t>
      </w:r>
      <w:bookmarkEnd w:id="42"/>
      <w:bookmarkEnd w:id="43"/>
      <w:bookmarkEnd w:id="46"/>
    </w:p>
    <w:p>
      <w:pPr>
        <w:spacing w:line="440" w:lineRule="exact"/>
        <w:rPr>
          <w:sz w:val="24"/>
        </w:rPr>
      </w:pPr>
    </w:p>
    <w:p>
      <w:pPr>
        <w:jc w:val="center"/>
        <w:rPr>
          <w:b/>
          <w:bCs/>
          <w:sz w:val="32"/>
          <w:szCs w:val="32"/>
        </w:rPr>
      </w:pPr>
      <w:bookmarkStart w:id="47" w:name="_Toc13604"/>
      <w:r>
        <w:rPr>
          <w:rFonts w:hint="eastAsia"/>
          <w:b/>
          <w:bCs/>
          <w:sz w:val="32"/>
          <w:szCs w:val="32"/>
        </w:rPr>
        <w:t>目    录</w:t>
      </w:r>
      <w:bookmarkEnd w:id="47"/>
    </w:p>
    <w:p>
      <w:pPr>
        <w:widowControl/>
        <w:wordWrap w:val="0"/>
        <w:spacing w:line="460" w:lineRule="exact"/>
        <w:ind w:firstLine="480" w:firstLineChars="200"/>
        <w:jc w:val="left"/>
        <w:rPr>
          <w:rFonts w:ascii="宋体" w:hAnsi="宋体" w:cs="宋体"/>
          <w:kern w:val="0"/>
          <w:sz w:val="24"/>
        </w:rPr>
      </w:pPr>
    </w:p>
    <w:p>
      <w:pPr>
        <w:snapToGrid w:val="0"/>
        <w:spacing w:line="360" w:lineRule="auto"/>
        <w:ind w:firstLine="480" w:firstLineChars="200"/>
        <w:rPr>
          <w:sz w:val="24"/>
        </w:rPr>
      </w:pPr>
      <w:bookmarkStart w:id="48" w:name="_Toc11308"/>
      <w:r>
        <w:rPr>
          <w:rFonts w:hint="eastAsia"/>
          <w:sz w:val="24"/>
        </w:rPr>
        <w:t>附件1投标文件封面（格式）</w:t>
      </w:r>
      <w:bookmarkEnd w:id="48"/>
    </w:p>
    <w:p>
      <w:pPr>
        <w:snapToGrid w:val="0"/>
        <w:spacing w:line="360" w:lineRule="auto"/>
        <w:ind w:firstLine="480" w:firstLineChars="200"/>
        <w:rPr>
          <w:sz w:val="24"/>
        </w:rPr>
      </w:pPr>
      <w:bookmarkStart w:id="49" w:name="_Toc25345"/>
      <w:r>
        <w:rPr>
          <w:rFonts w:hint="eastAsia"/>
          <w:sz w:val="24"/>
        </w:rPr>
        <w:t>附件2 投标书（格式）</w:t>
      </w:r>
      <w:bookmarkEnd w:id="49"/>
    </w:p>
    <w:p>
      <w:pPr>
        <w:snapToGrid w:val="0"/>
        <w:spacing w:line="360" w:lineRule="auto"/>
        <w:ind w:firstLine="480" w:firstLineChars="200"/>
        <w:rPr>
          <w:sz w:val="24"/>
        </w:rPr>
      </w:pPr>
      <w:bookmarkStart w:id="50" w:name="_Toc10217"/>
      <w:r>
        <w:rPr>
          <w:rFonts w:hint="eastAsia"/>
          <w:sz w:val="24"/>
        </w:rPr>
        <w:t>附件3 开标一览表（格式）</w:t>
      </w:r>
      <w:bookmarkEnd w:id="50"/>
    </w:p>
    <w:p>
      <w:pPr>
        <w:snapToGrid w:val="0"/>
        <w:spacing w:line="360" w:lineRule="auto"/>
        <w:ind w:firstLine="480" w:firstLineChars="200"/>
        <w:rPr>
          <w:sz w:val="24"/>
        </w:rPr>
      </w:pPr>
      <w:bookmarkStart w:id="51" w:name="_Toc9579"/>
      <w:r>
        <w:rPr>
          <w:rFonts w:hint="eastAsia"/>
          <w:sz w:val="24"/>
        </w:rPr>
        <w:t xml:space="preserve">附件4 </w:t>
      </w:r>
      <w:bookmarkEnd w:id="51"/>
      <w:r>
        <w:rPr>
          <w:rFonts w:hint="eastAsia"/>
          <w:sz w:val="24"/>
        </w:rPr>
        <w:t>报价明细表</w:t>
      </w:r>
    </w:p>
    <w:p>
      <w:pPr>
        <w:snapToGrid w:val="0"/>
        <w:spacing w:line="360" w:lineRule="auto"/>
        <w:ind w:firstLine="480" w:firstLineChars="200"/>
        <w:rPr>
          <w:sz w:val="24"/>
        </w:rPr>
      </w:pPr>
      <w:bookmarkStart w:id="52" w:name="_Toc28392"/>
      <w:r>
        <w:rPr>
          <w:rFonts w:hint="eastAsia"/>
          <w:sz w:val="24"/>
        </w:rPr>
        <w:t>附件5技术部分</w:t>
      </w:r>
      <w:bookmarkEnd w:id="52"/>
    </w:p>
    <w:p>
      <w:pPr>
        <w:snapToGrid w:val="0"/>
        <w:spacing w:line="360" w:lineRule="auto"/>
        <w:ind w:firstLine="480" w:firstLineChars="200"/>
        <w:rPr>
          <w:sz w:val="24"/>
        </w:rPr>
      </w:pPr>
      <w:bookmarkStart w:id="53" w:name="_Toc6234"/>
      <w:r>
        <w:rPr>
          <w:rFonts w:hint="eastAsia"/>
          <w:sz w:val="24"/>
        </w:rPr>
        <w:t>附件6 商务</w:t>
      </w:r>
      <w:bookmarkEnd w:id="53"/>
      <w:r>
        <w:rPr>
          <w:rFonts w:hint="eastAsia"/>
          <w:sz w:val="24"/>
        </w:rPr>
        <w:t>部分</w:t>
      </w:r>
    </w:p>
    <w:p>
      <w:pPr>
        <w:snapToGrid w:val="0"/>
        <w:spacing w:line="360" w:lineRule="auto"/>
        <w:ind w:firstLine="480" w:firstLineChars="200"/>
        <w:rPr>
          <w:sz w:val="24"/>
        </w:rPr>
      </w:pPr>
      <w:bookmarkStart w:id="54" w:name="_Toc26231"/>
      <w:r>
        <w:rPr>
          <w:rFonts w:hint="eastAsia"/>
          <w:sz w:val="24"/>
        </w:rPr>
        <w:t>附件7法定代表人身份证明（格式）</w:t>
      </w:r>
      <w:bookmarkEnd w:id="54"/>
    </w:p>
    <w:p>
      <w:pPr>
        <w:snapToGrid w:val="0"/>
        <w:spacing w:line="360" w:lineRule="auto"/>
        <w:ind w:firstLine="480" w:firstLineChars="200"/>
        <w:rPr>
          <w:sz w:val="24"/>
        </w:rPr>
      </w:pPr>
      <w:bookmarkStart w:id="55" w:name="_Toc18484"/>
      <w:r>
        <w:rPr>
          <w:rFonts w:hint="eastAsia"/>
          <w:sz w:val="24"/>
        </w:rPr>
        <w:t>附件8法定代表人授权书（格式）</w:t>
      </w:r>
      <w:bookmarkEnd w:id="55"/>
    </w:p>
    <w:p>
      <w:pPr>
        <w:snapToGrid w:val="0"/>
        <w:spacing w:line="360" w:lineRule="auto"/>
        <w:ind w:firstLine="480" w:firstLineChars="200"/>
        <w:rPr>
          <w:sz w:val="24"/>
        </w:rPr>
      </w:pPr>
      <w:bookmarkStart w:id="56" w:name="_Toc31857"/>
      <w:r>
        <w:rPr>
          <w:rFonts w:hint="eastAsia"/>
          <w:sz w:val="24"/>
        </w:rPr>
        <w:t>附件9 证明文件</w:t>
      </w:r>
      <w:bookmarkEnd w:id="56"/>
    </w:p>
    <w:p>
      <w:pPr>
        <w:snapToGrid w:val="0"/>
        <w:spacing w:line="360" w:lineRule="auto"/>
        <w:ind w:firstLine="480" w:firstLineChars="200"/>
        <w:rPr>
          <w:sz w:val="24"/>
        </w:rPr>
      </w:pPr>
      <w:bookmarkStart w:id="57" w:name="_Toc23116"/>
      <w:r>
        <w:rPr>
          <w:rFonts w:hint="eastAsia"/>
          <w:sz w:val="24"/>
        </w:rPr>
        <w:t>附件10 供应商承诺书（格式）</w:t>
      </w:r>
      <w:bookmarkEnd w:id="57"/>
    </w:p>
    <w:p>
      <w:pPr>
        <w:snapToGrid w:val="0"/>
        <w:spacing w:line="360" w:lineRule="auto"/>
        <w:ind w:firstLine="480" w:firstLineChars="200"/>
        <w:rPr>
          <w:sz w:val="24"/>
        </w:rPr>
      </w:pPr>
      <w:r>
        <w:rPr>
          <w:rFonts w:hint="eastAsia"/>
          <w:sz w:val="24"/>
        </w:rPr>
        <w:t>附件11 供应商信用承诺函（格式）</w:t>
      </w:r>
    </w:p>
    <w:p>
      <w:pPr>
        <w:pStyle w:val="30"/>
        <w:ind w:firstLine="210"/>
      </w:pPr>
    </w:p>
    <w:p>
      <w:pPr>
        <w:widowControl/>
        <w:wordWrap w:val="0"/>
        <w:snapToGrid w:val="0"/>
        <w:spacing w:line="460" w:lineRule="exact"/>
        <w:ind w:firstLine="482" w:firstLineChars="200"/>
        <w:jc w:val="center"/>
        <w:rPr>
          <w:rFonts w:ascii="宋体" w:hAnsi="宋体" w:cs="宋体"/>
          <w:b/>
          <w:bCs/>
          <w:kern w:val="0"/>
          <w:sz w:val="24"/>
        </w:rPr>
      </w:pPr>
    </w:p>
    <w:p>
      <w:pPr>
        <w:widowControl/>
        <w:wordWrap w:val="0"/>
        <w:snapToGrid w:val="0"/>
        <w:spacing w:line="460" w:lineRule="exact"/>
        <w:ind w:firstLine="482" w:firstLineChars="200"/>
        <w:jc w:val="center"/>
        <w:rPr>
          <w:rFonts w:ascii="宋体" w:hAnsi="宋体" w:cs="宋体"/>
          <w:b/>
          <w:bCs/>
          <w:kern w:val="0"/>
          <w:sz w:val="24"/>
        </w:rPr>
      </w:pPr>
    </w:p>
    <w:p>
      <w:pPr>
        <w:widowControl/>
        <w:wordWrap w:val="0"/>
        <w:snapToGrid w:val="0"/>
        <w:spacing w:line="460" w:lineRule="exact"/>
        <w:ind w:firstLine="482" w:firstLineChars="200"/>
        <w:jc w:val="center"/>
        <w:rPr>
          <w:rFonts w:ascii="宋体" w:hAnsi="宋体" w:cs="宋体"/>
          <w:b/>
          <w:bCs/>
          <w:kern w:val="0"/>
          <w:sz w:val="24"/>
        </w:rPr>
      </w:pPr>
    </w:p>
    <w:p>
      <w:pPr>
        <w:pStyle w:val="3"/>
        <w:rPr>
          <w:rFonts w:ascii="宋体" w:hAnsi="宋体" w:cs="宋体"/>
          <w:b/>
          <w:bCs/>
          <w:kern w:val="0"/>
          <w:sz w:val="24"/>
        </w:rPr>
      </w:pPr>
    </w:p>
    <w:p>
      <w:pPr>
        <w:pStyle w:val="4"/>
        <w:rPr>
          <w:rFonts w:hAnsi="宋体"/>
          <w:b/>
          <w:bCs/>
          <w:color w:val="auto"/>
        </w:rPr>
      </w:pPr>
    </w:p>
    <w:p>
      <w:pPr>
        <w:pStyle w:val="4"/>
        <w:rPr>
          <w:rFonts w:hAnsi="宋体"/>
          <w:b/>
          <w:bCs/>
          <w:color w:val="auto"/>
        </w:rPr>
      </w:pPr>
    </w:p>
    <w:p>
      <w:r>
        <w:rPr>
          <w:rFonts w:hint="eastAsia"/>
        </w:rPr>
        <w:br w:type="page"/>
      </w:r>
    </w:p>
    <w:p>
      <w:pPr>
        <w:pStyle w:val="25"/>
      </w:pPr>
    </w:p>
    <w:p>
      <w:pPr>
        <w:pStyle w:val="6"/>
      </w:pPr>
      <w:bookmarkStart w:id="58" w:name="_Toc24743"/>
      <w:bookmarkStart w:id="59" w:name="_Toc31798"/>
      <w:r>
        <w:rPr>
          <w:rFonts w:hint="eastAsia"/>
        </w:rPr>
        <w:t>附件1               投标文件封面（格式）</w:t>
      </w:r>
      <w:bookmarkEnd w:id="58"/>
      <w:bookmarkEnd w:id="59"/>
    </w:p>
    <w:p>
      <w:pPr>
        <w:widowControl/>
        <w:wordWrap w:val="0"/>
        <w:spacing w:line="460" w:lineRule="exact"/>
        <w:ind w:firstLine="482" w:firstLineChars="200"/>
        <w:jc w:val="center"/>
        <w:rPr>
          <w:rFonts w:ascii="宋体" w:hAnsi="宋体" w:cs="宋体"/>
          <w:b/>
          <w:kern w:val="0"/>
          <w:sz w:val="24"/>
        </w:rPr>
      </w:pPr>
    </w:p>
    <w:p>
      <w:pPr>
        <w:snapToGrid w:val="0"/>
        <w:spacing w:line="360" w:lineRule="auto"/>
        <w:jc w:val="center"/>
        <w:rPr>
          <w:rFonts w:ascii="宋体" w:hAnsi="宋体" w:cs="宋体"/>
          <w:b/>
          <w:spacing w:val="90"/>
          <w:sz w:val="52"/>
          <w:szCs w:val="52"/>
        </w:rPr>
      </w:pPr>
      <w:r>
        <w:rPr>
          <w:rFonts w:hint="eastAsia" w:ascii="宋体" w:hAnsi="宋体" w:cs="宋体"/>
          <w:b/>
          <w:snapToGrid w:val="0"/>
          <w:kern w:val="0"/>
          <w:sz w:val="44"/>
          <w:szCs w:val="44"/>
        </w:rPr>
        <w:t>驻马店市中心医院</w:t>
      </w:r>
      <w:r>
        <w:rPr>
          <w:rFonts w:hint="eastAsia" w:ascii="宋体" w:hAnsi="宋体" w:cs="宋体"/>
          <w:b/>
          <w:snapToGrid w:val="0"/>
          <w:kern w:val="0"/>
          <w:sz w:val="44"/>
          <w:szCs w:val="44"/>
          <w:u w:val="single"/>
          <w:lang w:val="en-US" w:eastAsia="zh-CN"/>
        </w:rPr>
        <w:t xml:space="preserve">       </w:t>
      </w:r>
      <w:r>
        <w:rPr>
          <w:rFonts w:hint="eastAsia" w:ascii="宋体" w:hAnsi="宋体" w:cs="宋体"/>
          <w:b/>
          <w:snapToGrid w:val="0"/>
          <w:kern w:val="0"/>
          <w:sz w:val="44"/>
          <w:szCs w:val="44"/>
        </w:rPr>
        <w:t>项目</w:t>
      </w:r>
    </w:p>
    <w:p>
      <w:pPr>
        <w:snapToGrid w:val="0"/>
        <w:spacing w:line="360" w:lineRule="auto"/>
        <w:jc w:val="center"/>
        <w:rPr>
          <w:rFonts w:ascii="宋体" w:hAnsi="宋体" w:cs="宋体"/>
          <w:b/>
          <w:spacing w:val="90"/>
          <w:sz w:val="52"/>
          <w:szCs w:val="52"/>
        </w:rPr>
      </w:pPr>
      <w:r>
        <w:rPr>
          <w:rFonts w:hint="eastAsia" w:ascii="宋体" w:hAnsi="宋体" w:cs="宋体"/>
          <w:b/>
          <w:spacing w:val="90"/>
          <w:sz w:val="52"/>
          <w:szCs w:val="52"/>
        </w:rPr>
        <w:t>投标文件</w:t>
      </w:r>
    </w:p>
    <w:p>
      <w:pPr>
        <w:spacing w:line="360" w:lineRule="auto"/>
        <w:rPr>
          <w:rFonts w:ascii="宋体" w:hAnsi="宋体" w:cs="宋体"/>
          <w:sz w:val="28"/>
        </w:rPr>
      </w:pPr>
    </w:p>
    <w:p>
      <w:pPr>
        <w:pStyle w:val="4"/>
        <w:spacing w:line="360" w:lineRule="auto"/>
        <w:rPr>
          <w:rFonts w:hAnsi="宋体"/>
          <w:color w:val="auto"/>
        </w:rPr>
      </w:pPr>
    </w:p>
    <w:p>
      <w:pPr>
        <w:pStyle w:val="4"/>
        <w:spacing w:line="360" w:lineRule="auto"/>
        <w:rPr>
          <w:rFonts w:hAnsi="宋体"/>
          <w:color w:val="auto"/>
        </w:rPr>
      </w:pPr>
    </w:p>
    <w:p>
      <w:pPr>
        <w:spacing w:line="360" w:lineRule="auto"/>
        <w:rPr>
          <w:rFonts w:ascii="宋体" w:hAnsi="宋体" w:cs="宋体"/>
          <w:sz w:val="28"/>
        </w:rPr>
      </w:pPr>
    </w:p>
    <w:p>
      <w:pPr>
        <w:spacing w:line="360" w:lineRule="auto"/>
        <w:rPr>
          <w:rFonts w:ascii="宋体" w:hAnsi="宋体" w:cs="宋体"/>
          <w:sz w:val="28"/>
        </w:rPr>
      </w:pPr>
    </w:p>
    <w:p>
      <w:pPr>
        <w:spacing w:line="360" w:lineRule="auto"/>
        <w:rPr>
          <w:rFonts w:ascii="宋体" w:hAnsi="宋体" w:cs="宋体"/>
          <w:sz w:val="28"/>
        </w:rPr>
      </w:pPr>
    </w:p>
    <w:p>
      <w:pPr>
        <w:spacing w:line="360" w:lineRule="auto"/>
        <w:rPr>
          <w:rFonts w:ascii="宋体" w:hAnsi="宋体" w:cs="宋体"/>
          <w:sz w:val="28"/>
        </w:rPr>
      </w:pPr>
    </w:p>
    <w:p>
      <w:pPr>
        <w:spacing w:line="360" w:lineRule="auto"/>
        <w:rPr>
          <w:rFonts w:ascii="宋体" w:hAnsi="宋体" w:cs="宋体"/>
          <w:sz w:val="28"/>
        </w:rPr>
      </w:pPr>
    </w:p>
    <w:p>
      <w:pPr>
        <w:spacing w:line="360" w:lineRule="auto"/>
        <w:rPr>
          <w:rFonts w:ascii="宋体" w:hAnsi="宋体" w:cs="宋体"/>
          <w:sz w:val="28"/>
        </w:rPr>
      </w:pPr>
    </w:p>
    <w:p>
      <w:pPr>
        <w:spacing w:line="360" w:lineRule="auto"/>
        <w:jc w:val="center"/>
        <w:rPr>
          <w:rFonts w:ascii="宋体" w:hAnsi="宋体" w:cs="宋体"/>
          <w:sz w:val="28"/>
          <w:szCs w:val="28"/>
        </w:rPr>
      </w:pPr>
      <w:r>
        <w:rPr>
          <w:rFonts w:hint="eastAsia" w:ascii="宋体" w:hAnsi="宋体" w:cs="宋体"/>
          <w:sz w:val="28"/>
          <w:szCs w:val="28"/>
        </w:rPr>
        <w:t>供应商：（盖章）</w:t>
      </w:r>
    </w:p>
    <w:p>
      <w:pPr>
        <w:spacing w:line="360" w:lineRule="auto"/>
        <w:jc w:val="center"/>
        <w:rPr>
          <w:rFonts w:ascii="宋体" w:hAnsi="宋体" w:cs="宋体"/>
          <w:sz w:val="28"/>
          <w:szCs w:val="28"/>
        </w:rPr>
      </w:pPr>
      <w:r>
        <w:rPr>
          <w:rFonts w:hint="eastAsia" w:ascii="宋体" w:hAnsi="宋体" w:cs="宋体"/>
          <w:sz w:val="28"/>
          <w:szCs w:val="28"/>
        </w:rPr>
        <w:t>法定代表人：（签字或盖章）</w:t>
      </w:r>
    </w:p>
    <w:p>
      <w:pPr>
        <w:widowControl/>
        <w:wordWrap w:val="0"/>
        <w:spacing w:line="460" w:lineRule="exact"/>
        <w:jc w:val="center"/>
        <w:rPr>
          <w:rFonts w:ascii="宋体" w:hAnsi="宋体" w:cs="宋体"/>
          <w:b/>
          <w:kern w:val="0"/>
          <w:sz w:val="24"/>
        </w:rPr>
      </w:pPr>
      <w:r>
        <w:rPr>
          <w:rFonts w:hint="eastAsia" w:ascii="宋体" w:hAnsi="宋体" w:cs="宋体"/>
          <w:sz w:val="28"/>
          <w:szCs w:val="28"/>
        </w:rPr>
        <w:t>年   月   日</w:t>
      </w:r>
    </w:p>
    <w:p>
      <w:pPr>
        <w:widowControl/>
        <w:wordWrap w:val="0"/>
        <w:spacing w:line="460" w:lineRule="exact"/>
        <w:ind w:firstLine="482" w:firstLineChars="200"/>
        <w:jc w:val="left"/>
        <w:rPr>
          <w:rFonts w:ascii="宋体" w:hAnsi="宋体" w:cs="宋体"/>
          <w:b/>
          <w:kern w:val="0"/>
          <w:sz w:val="24"/>
        </w:rPr>
      </w:pPr>
    </w:p>
    <w:p>
      <w:pPr>
        <w:pStyle w:val="3"/>
        <w:rPr>
          <w:rFonts w:ascii="宋体" w:hAnsi="宋体" w:cs="宋体"/>
          <w:b/>
          <w:kern w:val="0"/>
          <w:sz w:val="24"/>
        </w:rPr>
      </w:pPr>
    </w:p>
    <w:p>
      <w:pPr>
        <w:rPr>
          <w:rFonts w:ascii="宋体" w:hAnsi="宋体" w:cs="宋体"/>
          <w:b/>
          <w:kern w:val="0"/>
          <w:sz w:val="24"/>
        </w:rPr>
      </w:pPr>
      <w:r>
        <w:rPr>
          <w:rFonts w:hint="eastAsia" w:ascii="宋体" w:hAnsi="宋体" w:cs="宋体"/>
          <w:b/>
          <w:kern w:val="0"/>
          <w:sz w:val="24"/>
        </w:rPr>
        <w:br w:type="page"/>
      </w:r>
    </w:p>
    <w:p/>
    <w:p>
      <w:pPr>
        <w:pStyle w:val="6"/>
      </w:pPr>
      <w:bookmarkStart w:id="60" w:name="_Toc8818"/>
      <w:bookmarkStart w:id="61" w:name="_Toc14560"/>
      <w:r>
        <w:rPr>
          <w:rFonts w:hint="eastAsia"/>
        </w:rPr>
        <w:t>附件2               投  标  书（格式）</w:t>
      </w:r>
      <w:bookmarkEnd w:id="60"/>
      <w:bookmarkEnd w:id="61"/>
    </w:p>
    <w:p>
      <w:pPr>
        <w:widowControl/>
        <w:wordWrap w:val="0"/>
        <w:snapToGrid w:val="0"/>
        <w:spacing w:line="460" w:lineRule="exact"/>
        <w:jc w:val="left"/>
        <w:rPr>
          <w:rFonts w:ascii="宋体" w:hAnsi="宋体" w:cs="宋体"/>
          <w:kern w:val="0"/>
          <w:szCs w:val="21"/>
        </w:rPr>
      </w:pPr>
      <w:r>
        <w:rPr>
          <w:rFonts w:hint="eastAsia" w:ascii="宋体" w:hAnsi="宋体" w:cs="宋体"/>
          <w:kern w:val="0"/>
          <w:szCs w:val="21"/>
        </w:rPr>
        <w:t>致：</w:t>
      </w:r>
      <w:r>
        <w:rPr>
          <w:rFonts w:hint="eastAsia" w:ascii="宋体" w:hAnsi="宋体" w:cs="宋体"/>
          <w:kern w:val="0"/>
          <w:szCs w:val="21"/>
          <w:u w:val="single"/>
        </w:rPr>
        <w:t xml:space="preserve"> （采购人名称）</w:t>
      </w:r>
      <w:r>
        <w:rPr>
          <w:rFonts w:hint="eastAsia" w:ascii="宋体" w:hAnsi="宋体" w:cs="宋体"/>
          <w:kern w:val="0"/>
          <w:szCs w:val="21"/>
        </w:rPr>
        <w:t>：</w:t>
      </w:r>
    </w:p>
    <w:p>
      <w:pPr>
        <w:widowControl/>
        <w:wordWrap w:val="0"/>
        <w:spacing w:line="460" w:lineRule="exact"/>
        <w:ind w:firstLine="525" w:firstLineChars="250"/>
        <w:jc w:val="left"/>
        <w:rPr>
          <w:rFonts w:ascii="宋体" w:hAnsi="宋体" w:cs="宋体"/>
          <w:kern w:val="0"/>
          <w:szCs w:val="21"/>
        </w:rPr>
      </w:pPr>
      <w:r>
        <w:rPr>
          <w:rFonts w:hint="eastAsia" w:ascii="宋体" w:hAnsi="宋体" w:cs="宋体"/>
          <w:kern w:val="0"/>
          <w:szCs w:val="21"/>
          <w:u w:val="single"/>
        </w:rPr>
        <w:t>（供应商名称）</w:t>
      </w:r>
      <w:r>
        <w:rPr>
          <w:rFonts w:hint="eastAsia" w:ascii="宋体" w:hAnsi="宋体" w:cs="宋体"/>
          <w:kern w:val="0"/>
          <w:szCs w:val="21"/>
        </w:rPr>
        <w:t>现委托 （姓名）为我方代理人，参加贵方组织的项目的投标。现正式提交下述文件1份：</w:t>
      </w:r>
    </w:p>
    <w:p>
      <w:pPr>
        <w:widowControl/>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1、开标一览表。</w:t>
      </w:r>
    </w:p>
    <w:p>
      <w:pPr>
        <w:widowControl/>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2、报价明细表。</w:t>
      </w:r>
    </w:p>
    <w:p>
      <w:pPr>
        <w:widowControl/>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4、技术响应表。</w:t>
      </w:r>
    </w:p>
    <w:p>
      <w:pPr>
        <w:widowControl/>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4、商务响应表。</w:t>
      </w:r>
    </w:p>
    <w:p>
      <w:pPr>
        <w:widowControl/>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5、证明文件。</w:t>
      </w:r>
    </w:p>
    <w:p>
      <w:pPr>
        <w:widowControl/>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6、抵制商业贿赂承诺。为便于贵方公正、择优地确定中标供应商及其投标产品和服务，我方就本次投标有关事项郑重声明并宣布同意如下：</w:t>
      </w:r>
    </w:p>
    <w:p>
      <w:pPr>
        <w:widowControl/>
        <w:wordWrap w:val="0"/>
        <w:spacing w:line="360" w:lineRule="auto"/>
        <w:ind w:firstLine="420" w:firstLineChars="200"/>
        <w:jc w:val="left"/>
        <w:rPr>
          <w:rFonts w:ascii="宋体" w:hAnsi="宋体" w:cs="宋体"/>
          <w:kern w:val="0"/>
          <w:szCs w:val="21"/>
        </w:rPr>
      </w:pPr>
      <w:r>
        <w:rPr>
          <w:rFonts w:hint="eastAsia" w:ascii="宋体" w:hAnsi="宋体" w:cs="宋体"/>
          <w:kern w:val="0"/>
          <w:szCs w:val="21"/>
        </w:rPr>
        <w:t>1、我方承诺已经具备采购文件中规定的参加政府采购活动的供应商应当具备的条件。我方愿意向贵方提供任何与本采购项目投标有关的数据、情况和技术资料，并根据需要提供一切承诺的证明材料，并保证其真实、合法、有效。</w:t>
      </w:r>
    </w:p>
    <w:p>
      <w:pPr>
        <w:widowControl/>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2、我方承诺在投标活动中提供的各种材料真实有效。</w:t>
      </w:r>
    </w:p>
    <w:p>
      <w:pPr>
        <w:widowControl/>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4、我方已详细审查全部采购文件，包括修改文件（如有的话）和有关附件，将自行承担因对全部采购文件理解不正确或误解而产生的相应后果。</w:t>
      </w:r>
    </w:p>
    <w:p>
      <w:pPr>
        <w:widowControl/>
        <w:wordWrap w:val="0"/>
        <w:spacing w:line="360" w:lineRule="auto"/>
        <w:ind w:firstLine="420" w:firstLineChars="200"/>
        <w:jc w:val="left"/>
        <w:rPr>
          <w:rFonts w:ascii="宋体" w:hAnsi="宋体" w:cs="宋体"/>
          <w:kern w:val="0"/>
          <w:szCs w:val="21"/>
        </w:rPr>
      </w:pPr>
      <w:r>
        <w:rPr>
          <w:rFonts w:hint="eastAsia" w:ascii="宋体" w:hAnsi="宋体" w:cs="宋体"/>
          <w:kern w:val="0"/>
          <w:szCs w:val="21"/>
        </w:rPr>
        <w:t>5、我方保证尊重评标委员会的评标结果，完全理解本采购项目最低投标价不作为中标的保证。</w:t>
      </w:r>
    </w:p>
    <w:p>
      <w:pPr>
        <w:widowControl/>
        <w:wordWrap w:val="0"/>
        <w:spacing w:line="360" w:lineRule="auto"/>
        <w:ind w:firstLine="420" w:firstLineChars="200"/>
        <w:jc w:val="left"/>
        <w:rPr>
          <w:rFonts w:ascii="宋体" w:hAnsi="宋体" w:cs="宋体"/>
          <w:kern w:val="0"/>
          <w:szCs w:val="21"/>
        </w:rPr>
      </w:pPr>
      <w:r>
        <w:rPr>
          <w:rFonts w:hint="eastAsia" w:ascii="宋体" w:hAnsi="宋体" w:cs="宋体"/>
          <w:kern w:val="0"/>
          <w:szCs w:val="21"/>
        </w:rPr>
        <w:t>6、我方理解并遵守采购文件的全部规定，接受采购文件中政府采购合同的全部条款且无任何异议。</w:t>
      </w:r>
    </w:p>
    <w:p>
      <w:pPr>
        <w:widowControl/>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7、如果我方代表</w:t>
      </w:r>
      <w:r>
        <w:rPr>
          <w:rFonts w:hint="eastAsia" w:ascii="宋体" w:hAnsi="宋体" w:cs="宋体"/>
          <w:bCs/>
          <w:kern w:val="0"/>
          <w:szCs w:val="21"/>
        </w:rPr>
        <w:t>未按时参加开标的，视同放弃开标监督权利，认可开标结果。</w:t>
      </w:r>
    </w:p>
    <w:p>
      <w:pPr>
        <w:widowControl/>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8、如果我方存在供应商须知第9.3项所述情况，同意被认定为在经营活动中有重大违法记录。</w:t>
      </w:r>
    </w:p>
    <w:p>
      <w:pPr>
        <w:widowControl/>
        <w:wordWrap w:val="0"/>
        <w:spacing w:line="360" w:lineRule="auto"/>
        <w:ind w:firstLine="420" w:firstLineChars="200"/>
        <w:jc w:val="left"/>
        <w:rPr>
          <w:rFonts w:ascii="宋体" w:hAnsi="宋体" w:cs="宋体"/>
          <w:kern w:val="0"/>
          <w:szCs w:val="21"/>
        </w:rPr>
      </w:pPr>
      <w:r>
        <w:rPr>
          <w:rFonts w:hint="eastAsia" w:ascii="宋体" w:hAnsi="宋体" w:cs="宋体"/>
          <w:kern w:val="0"/>
          <w:szCs w:val="21"/>
        </w:rPr>
        <w:t>9、如果发生供应商须知第25.4.1、25.4.3项所述情况，同意我方投标被作为无效投标处理。</w:t>
      </w:r>
    </w:p>
    <w:p>
      <w:pPr>
        <w:widowControl/>
        <w:wordWrap w:val="0"/>
        <w:spacing w:line="360" w:lineRule="auto"/>
        <w:ind w:firstLine="420" w:firstLineChars="200"/>
        <w:jc w:val="left"/>
        <w:rPr>
          <w:rFonts w:ascii="宋体" w:hAnsi="宋体" w:cs="宋体"/>
          <w:kern w:val="0"/>
          <w:szCs w:val="21"/>
        </w:rPr>
      </w:pPr>
      <w:r>
        <w:rPr>
          <w:rFonts w:hint="eastAsia" w:ascii="宋体" w:hAnsi="宋体" w:cs="宋体"/>
          <w:kern w:val="0"/>
          <w:szCs w:val="21"/>
        </w:rPr>
        <w:t>10、如果发生供应商须知第25.5项所述情况，同意评标委员会认定我方的行为属于串通投标的行为，并自愿接受监管部门的处罚。</w:t>
      </w:r>
    </w:p>
    <w:p>
      <w:pPr>
        <w:widowControl/>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11、如果现场变更采购方式，我方同意在不改变采购需求、资质条件等情况下，按变更后的采购方式的规定程序进行采购。</w:t>
      </w:r>
    </w:p>
    <w:p>
      <w:pPr>
        <w:widowControl/>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12、如果被确定为中标供应商，我方同意按采购文件的规定领取中标通知书并缴纳服务费。否则，视为我方中标后自动放弃中标资格，承担由此引起的一切后果。</w:t>
      </w:r>
    </w:p>
    <w:p>
      <w:pPr>
        <w:widowControl/>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13、如果被确定为中标供应商，我方同意在领取中标通知书之日起日内，按照采购文件的规定与采购人签订采购合同。否则，视为我方中标后无正当理由不与采购人签订合同并承担相应法律责任。</w:t>
      </w:r>
    </w:p>
    <w:p>
      <w:pPr>
        <w:widowControl/>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14、我方最近3年内的被公开披露或查处的违法违规行为有：。</w:t>
      </w:r>
    </w:p>
    <w:p>
      <w:pPr>
        <w:widowControl/>
        <w:tabs>
          <w:tab w:val="left" w:pos="939"/>
        </w:tabs>
        <w:wordWrap w:val="0"/>
        <w:snapToGrid w:val="0"/>
        <w:spacing w:line="460" w:lineRule="exact"/>
        <w:ind w:firstLine="420" w:firstLineChars="200"/>
        <w:jc w:val="left"/>
        <w:rPr>
          <w:rFonts w:ascii="宋体" w:hAnsi="宋体" w:cs="宋体"/>
          <w:kern w:val="0"/>
          <w:szCs w:val="21"/>
        </w:rPr>
      </w:pPr>
      <w:r>
        <w:rPr>
          <w:rFonts w:hint="eastAsia" w:ascii="宋体" w:hAnsi="宋体" w:cs="宋体"/>
          <w:kern w:val="0"/>
          <w:szCs w:val="21"/>
        </w:rPr>
        <w:t>15、以上事项如有虚假或隐瞒，我方愿意承担一切后果和责任。</w:t>
      </w:r>
    </w:p>
    <w:p>
      <w:pPr>
        <w:widowControl/>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16、与本投标有关的一切正式往来通讯请寄（地址电话必须为最新并可以联系到）：</w:t>
      </w:r>
    </w:p>
    <w:p>
      <w:pPr>
        <w:widowControl/>
        <w:wordWrap w:val="0"/>
        <w:spacing w:line="460" w:lineRule="exact"/>
        <w:ind w:firstLine="420" w:firstLineChars="200"/>
        <w:jc w:val="left"/>
        <w:rPr>
          <w:rFonts w:ascii="宋体" w:hAnsi="宋体" w:cs="宋体"/>
          <w:kern w:val="0"/>
          <w:szCs w:val="21"/>
          <w:u w:val="single"/>
        </w:rPr>
      </w:pPr>
      <w:r>
        <w:rPr>
          <w:rFonts w:hint="eastAsia" w:ascii="宋体" w:hAnsi="宋体" w:cs="宋体"/>
          <w:kern w:val="0"/>
          <w:szCs w:val="21"/>
        </w:rPr>
        <w:t xml:space="preserve">   地址：  邮编：</w:t>
      </w:r>
    </w:p>
    <w:p>
      <w:pPr>
        <w:widowControl/>
        <w:wordWrap w:val="0"/>
        <w:spacing w:line="460" w:lineRule="exact"/>
        <w:ind w:firstLine="420" w:firstLineChars="200"/>
        <w:jc w:val="left"/>
        <w:rPr>
          <w:rFonts w:ascii="宋体" w:hAnsi="宋体" w:cs="宋体"/>
          <w:kern w:val="0"/>
          <w:szCs w:val="21"/>
          <w:u w:val="single"/>
        </w:rPr>
      </w:pPr>
      <w:r>
        <w:rPr>
          <w:rFonts w:hint="eastAsia" w:ascii="宋体" w:hAnsi="宋体" w:cs="宋体"/>
          <w:kern w:val="0"/>
          <w:szCs w:val="21"/>
        </w:rPr>
        <w:t xml:space="preserve">   电话：  传真： </w:t>
      </w:r>
    </w:p>
    <w:p>
      <w:pPr>
        <w:widowControl/>
        <w:wordWrap w:val="0"/>
        <w:spacing w:line="460" w:lineRule="exact"/>
        <w:ind w:firstLine="420" w:firstLineChars="200"/>
        <w:jc w:val="left"/>
        <w:rPr>
          <w:rFonts w:ascii="宋体" w:hAnsi="宋体" w:cs="宋体"/>
          <w:kern w:val="0"/>
          <w:szCs w:val="21"/>
        </w:rPr>
      </w:pPr>
    </w:p>
    <w:p>
      <w:pPr>
        <w:widowControl/>
        <w:wordWrap w:val="0"/>
        <w:spacing w:line="460" w:lineRule="exact"/>
        <w:ind w:firstLine="735" w:firstLineChars="350"/>
        <w:jc w:val="left"/>
        <w:rPr>
          <w:rFonts w:ascii="宋体" w:hAnsi="宋体" w:cs="宋体"/>
          <w:kern w:val="0"/>
          <w:szCs w:val="21"/>
          <w:u w:val="single"/>
        </w:rPr>
      </w:pPr>
      <w:r>
        <w:rPr>
          <w:rFonts w:hint="eastAsia" w:ascii="宋体" w:hAnsi="宋体" w:cs="宋体"/>
          <w:kern w:val="0"/>
          <w:szCs w:val="21"/>
        </w:rPr>
        <w:t xml:space="preserve">供应商代表签字或盖章： </w:t>
      </w:r>
    </w:p>
    <w:p>
      <w:pPr>
        <w:widowControl/>
        <w:wordWrap w:val="0"/>
        <w:spacing w:line="460" w:lineRule="exact"/>
        <w:ind w:firstLine="420" w:firstLineChars="200"/>
        <w:jc w:val="left"/>
        <w:rPr>
          <w:rFonts w:ascii="宋体" w:hAnsi="宋体" w:cs="宋体"/>
          <w:kern w:val="0"/>
          <w:szCs w:val="21"/>
        </w:rPr>
      </w:pPr>
      <w:r>
        <w:rPr>
          <w:rFonts w:hint="eastAsia" w:ascii="宋体" w:hAnsi="宋体" w:cs="宋体"/>
          <w:kern w:val="0"/>
          <w:szCs w:val="21"/>
        </w:rPr>
        <w:t>供应商：（全称并加盖公章）</w:t>
      </w:r>
    </w:p>
    <w:p>
      <w:pPr>
        <w:widowControl/>
        <w:wordWrap w:val="0"/>
        <w:spacing w:line="460" w:lineRule="exact"/>
        <w:ind w:firstLine="420" w:firstLineChars="200"/>
        <w:jc w:val="left"/>
        <w:rPr>
          <w:rFonts w:ascii="宋体" w:hAnsi="宋体" w:cs="宋体"/>
          <w:kern w:val="0"/>
          <w:szCs w:val="21"/>
        </w:rPr>
      </w:pPr>
    </w:p>
    <w:p>
      <w:pPr>
        <w:widowControl/>
        <w:snapToGrid w:val="0"/>
        <w:spacing w:line="460" w:lineRule="exact"/>
        <w:ind w:firstLine="3360" w:firstLineChars="1600"/>
        <w:rPr>
          <w:rFonts w:ascii="宋体" w:hAnsi="宋体" w:cs="宋体"/>
          <w:kern w:val="0"/>
          <w:sz w:val="24"/>
        </w:rPr>
      </w:pPr>
      <w:r>
        <w:rPr>
          <w:rFonts w:hint="eastAsia" w:ascii="宋体" w:hAnsi="宋体" w:cs="宋体"/>
          <w:kern w:val="0"/>
          <w:szCs w:val="21"/>
        </w:rPr>
        <w:t xml:space="preserve">年    月   日 </w:t>
      </w:r>
    </w:p>
    <w:p>
      <w:pPr>
        <w:widowControl/>
        <w:wordWrap w:val="0"/>
        <w:snapToGrid w:val="0"/>
        <w:spacing w:before="50" w:after="50" w:line="480" w:lineRule="auto"/>
        <w:jc w:val="left"/>
        <w:rPr>
          <w:rFonts w:ascii="宋体" w:hAnsi="宋体" w:cs="宋体"/>
          <w:b/>
          <w:kern w:val="0"/>
          <w:sz w:val="24"/>
        </w:rPr>
      </w:pPr>
    </w:p>
    <w:p>
      <w:pPr>
        <w:widowControl/>
        <w:wordWrap w:val="0"/>
        <w:snapToGrid w:val="0"/>
        <w:spacing w:before="50" w:after="50" w:line="480" w:lineRule="auto"/>
        <w:jc w:val="left"/>
        <w:rPr>
          <w:rFonts w:ascii="宋体" w:hAnsi="宋体" w:cs="宋体"/>
          <w:b/>
          <w:kern w:val="0"/>
          <w:sz w:val="24"/>
        </w:rPr>
      </w:pPr>
    </w:p>
    <w:p>
      <w:pPr>
        <w:spacing w:line="500" w:lineRule="exact"/>
        <w:jc w:val="center"/>
        <w:rPr>
          <w:rFonts w:ascii="宋体" w:hAnsi="宋体"/>
          <w:b/>
          <w:bCs/>
          <w:sz w:val="24"/>
        </w:rPr>
      </w:pPr>
    </w:p>
    <w:p>
      <w:pPr>
        <w:rPr>
          <w:sz w:val="28"/>
          <w:szCs w:val="28"/>
        </w:rPr>
      </w:pPr>
      <w:r>
        <w:rPr>
          <w:rFonts w:hint="eastAsia"/>
          <w:sz w:val="28"/>
          <w:szCs w:val="28"/>
        </w:rPr>
        <w:br w:type="page"/>
      </w:r>
    </w:p>
    <w:p/>
    <w:p>
      <w:pPr>
        <w:pStyle w:val="6"/>
        <w:spacing w:before="20" w:after="20"/>
      </w:pPr>
      <w:bookmarkStart w:id="62" w:name="_Toc7838"/>
      <w:r>
        <w:rPr>
          <w:rFonts w:hint="eastAsia"/>
        </w:rPr>
        <w:t>附件3               开标一览表</w:t>
      </w:r>
      <w:bookmarkEnd w:id="62"/>
    </w:p>
    <w:p>
      <w:pPr>
        <w:spacing w:line="239" w:lineRule="auto"/>
        <w:jc w:val="right"/>
        <w:rPr>
          <w:rFonts w:ascii="宋体" w:hAnsi="宋体"/>
          <w:sz w:val="24"/>
        </w:rPr>
      </w:pPr>
      <w:r>
        <w:rPr>
          <w:rFonts w:ascii="宋体" w:hAnsi="宋体"/>
          <w:sz w:val="24"/>
        </w:rPr>
        <w:t>单位：人民币</w:t>
      </w:r>
      <w:r>
        <w:rPr>
          <w:rFonts w:hint="eastAsia"/>
          <w:sz w:val="24"/>
        </w:rPr>
        <w:t>元</w:t>
      </w:r>
    </w:p>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szCs w:val="21"/>
              </w:rPr>
            </w:pPr>
            <w:r>
              <w:rPr>
                <w:rFonts w:hint="eastAsia" w:ascii="宋体" w:hAnsi="宋体" w:cs="宋体"/>
                <w:kern w:val="0"/>
                <w:szCs w:val="21"/>
              </w:rPr>
              <w:t>项目名称</w:t>
            </w:r>
          </w:p>
        </w:tc>
        <w:tc>
          <w:tcPr>
            <w:tcW w:w="7708" w:type="dxa"/>
            <w:noWrap/>
            <w:vAlign w:val="center"/>
          </w:tcPr>
          <w:p>
            <w:pPr>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szCs w:val="21"/>
              </w:rPr>
            </w:pPr>
            <w:r>
              <w:rPr>
                <w:rFonts w:hint="eastAsia" w:ascii="宋体" w:hAnsi="宋体" w:cs="宋体"/>
                <w:kern w:val="0"/>
                <w:szCs w:val="21"/>
              </w:rPr>
              <w:t>供应商名称</w:t>
            </w:r>
          </w:p>
        </w:tc>
        <w:tc>
          <w:tcPr>
            <w:tcW w:w="7708" w:type="dxa"/>
            <w:noWrap/>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978" w:type="dxa"/>
            <w:noWrap/>
            <w:vAlign w:val="center"/>
          </w:tcPr>
          <w:p>
            <w:pPr>
              <w:jc w:val="center"/>
              <w:rPr>
                <w:rFonts w:ascii="宋体" w:hAnsi="宋体"/>
                <w:spacing w:val="-20"/>
                <w:szCs w:val="21"/>
              </w:rPr>
            </w:pPr>
            <w:r>
              <w:rPr>
                <w:rFonts w:hint="eastAsia" w:ascii="宋体" w:hAnsi="宋体"/>
                <w:szCs w:val="21"/>
              </w:rPr>
              <w:t>投标报价</w:t>
            </w:r>
          </w:p>
        </w:tc>
        <w:tc>
          <w:tcPr>
            <w:tcW w:w="7708" w:type="dxa"/>
            <w:noWrap/>
            <w:vAlign w:val="center"/>
          </w:tcPr>
          <w:p>
            <w:pPr>
              <w:rPr>
                <w:rFonts w:ascii="宋体" w:hAnsi="宋体"/>
                <w:szCs w:val="21"/>
              </w:rPr>
            </w:pPr>
            <w:r>
              <w:rPr>
                <w:rFonts w:hint="eastAsia" w:ascii="宋体" w:hAnsi="宋体"/>
                <w:szCs w:val="21"/>
              </w:rPr>
              <w:t xml:space="preserve">大写：        </w:t>
            </w:r>
          </w:p>
          <w:p>
            <w:pPr>
              <w:rPr>
                <w:rFonts w:ascii="宋体" w:hAnsi="宋体"/>
                <w:szCs w:val="21"/>
              </w:rPr>
            </w:pPr>
            <w:r>
              <w:rPr>
                <w:rFonts w:hint="eastAsia" w:ascii="宋体" w:hAnsi="宋体"/>
                <w:szCs w:val="21"/>
              </w:rPr>
              <w:t xml:space="preserve">小写：        </w:t>
            </w:r>
            <w:r>
              <w:rPr>
                <w:rFonts w:hint="eastAsia"/>
                <w:sz w:val="24"/>
              </w:rPr>
              <w:t>元</w:t>
            </w:r>
            <w:r>
              <w:rPr>
                <w:rFonts w:hint="eastAsia" w:ascii="宋体" w:hAnsi="宋体"/>
                <w:szCs w:val="21"/>
              </w:rPr>
              <w:t>（详见报价明细表）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szCs w:val="21"/>
              </w:rPr>
            </w:pPr>
            <w:r>
              <w:rPr>
                <w:rFonts w:hint="eastAsia" w:ascii="宋体" w:hAnsi="宋体"/>
                <w:szCs w:val="21"/>
              </w:rPr>
              <w:t>合同履行期限</w:t>
            </w:r>
          </w:p>
        </w:tc>
        <w:tc>
          <w:tcPr>
            <w:tcW w:w="7708" w:type="dxa"/>
            <w:noWrap/>
            <w:vAlign w:val="bottom"/>
          </w:tcPr>
          <w:p>
            <w:pPr>
              <w:spacing w:line="360" w:lineRule="auto"/>
              <w:ind w:firstLine="1155" w:firstLineChars="550"/>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szCs w:val="21"/>
              </w:rPr>
            </w:pPr>
            <w:r>
              <w:rPr>
                <w:rFonts w:hint="eastAsia" w:ascii="宋体" w:hAnsi="宋体" w:cs="宋体"/>
                <w:kern w:val="0"/>
                <w:szCs w:val="21"/>
              </w:rPr>
              <w:t>服务地点</w:t>
            </w:r>
          </w:p>
        </w:tc>
        <w:tc>
          <w:tcPr>
            <w:tcW w:w="7708" w:type="dxa"/>
            <w:noWrap/>
            <w:vAlign w:val="bottom"/>
          </w:tcPr>
          <w:p>
            <w:pPr>
              <w:spacing w:line="360" w:lineRule="auto"/>
              <w:ind w:firstLine="1155" w:firstLineChars="550"/>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szCs w:val="21"/>
              </w:rPr>
            </w:pPr>
            <w:r>
              <w:rPr>
                <w:rFonts w:hint="eastAsia" w:ascii="宋体" w:hAnsi="宋体"/>
                <w:color w:val="000000" w:themeColor="text1"/>
                <w:szCs w:val="21"/>
              </w:rPr>
              <w:t>服务质量</w:t>
            </w:r>
          </w:p>
        </w:tc>
        <w:tc>
          <w:tcPr>
            <w:tcW w:w="7708" w:type="dxa"/>
            <w:noWrap/>
            <w:vAlign w:val="bottom"/>
          </w:tcPr>
          <w:p>
            <w:pPr>
              <w:spacing w:line="360" w:lineRule="auto"/>
              <w:ind w:firstLine="1155" w:firstLineChars="550"/>
              <w:rPr>
                <w:rFonts w:ascii="宋体" w:hAnsi="宋体"/>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szCs w:val="21"/>
              </w:rPr>
            </w:pPr>
            <w:r>
              <w:rPr>
                <w:rFonts w:hint="eastAsia" w:ascii="宋体" w:hAnsi="宋体"/>
                <w:szCs w:val="21"/>
              </w:rPr>
              <w:t>备  注</w:t>
            </w:r>
          </w:p>
        </w:tc>
        <w:tc>
          <w:tcPr>
            <w:tcW w:w="7708" w:type="dxa"/>
            <w:noWrap/>
            <w:vAlign w:val="center"/>
          </w:tcPr>
          <w:p>
            <w:pPr>
              <w:pStyle w:val="20"/>
              <w:ind w:left="0" w:leftChars="0"/>
              <w:rPr>
                <w:sz w:val="21"/>
                <w:szCs w:val="21"/>
              </w:rPr>
            </w:pPr>
          </w:p>
        </w:tc>
      </w:tr>
    </w:tbl>
    <w:p>
      <w:pPr>
        <w:spacing w:line="360" w:lineRule="auto"/>
        <w:ind w:firstLine="420" w:firstLineChars="200"/>
        <w:rPr>
          <w:rFonts w:ascii="宋体" w:hAnsi="宋体" w:cs="宋体"/>
          <w:kern w:val="0"/>
          <w:szCs w:val="21"/>
        </w:rPr>
      </w:pPr>
      <w:r>
        <w:rPr>
          <w:rFonts w:hint="eastAsia" w:ascii="宋体" w:hAnsi="宋体" w:cs="宋体"/>
          <w:kern w:val="0"/>
          <w:szCs w:val="21"/>
        </w:rPr>
        <w:t>注: 1、报价一经涂改，应在涂改处加盖单位公章或供应商代表签字或盖章，否则其投标作无效标处理。</w:t>
      </w:r>
    </w:p>
    <w:p>
      <w:pPr>
        <w:spacing w:line="360" w:lineRule="auto"/>
        <w:ind w:firstLine="420" w:firstLineChars="200"/>
        <w:rPr>
          <w:rFonts w:ascii="宋体" w:hAnsi="宋体" w:cs="宋体"/>
          <w:kern w:val="0"/>
          <w:szCs w:val="21"/>
        </w:rPr>
      </w:pPr>
      <w:r>
        <w:rPr>
          <w:rFonts w:hint="eastAsia" w:ascii="宋体" w:hAnsi="宋体" w:cs="宋体"/>
          <w:kern w:val="0"/>
          <w:szCs w:val="21"/>
        </w:rPr>
        <w:t>2、以上报价应与“报价明细表”中的报价相一致。</w:t>
      </w:r>
    </w:p>
    <w:p>
      <w:pPr>
        <w:spacing w:line="360" w:lineRule="auto"/>
        <w:ind w:firstLine="420" w:firstLineChars="200"/>
        <w:rPr>
          <w:rFonts w:ascii="宋体" w:hAnsi="宋体" w:cs="宋体"/>
          <w:kern w:val="0"/>
          <w:szCs w:val="21"/>
        </w:rPr>
      </w:pPr>
      <w:r>
        <w:rPr>
          <w:rFonts w:hint="eastAsia" w:ascii="宋体" w:hAnsi="宋体" w:cs="宋体"/>
          <w:kern w:val="0"/>
          <w:szCs w:val="21"/>
        </w:rPr>
        <w:t>3、凡认为所投产品符合价格折扣条件的，在相应的产品的“备注”栏内注明符合何种折扣条件。</w:t>
      </w:r>
    </w:p>
    <w:p>
      <w:pPr>
        <w:spacing w:line="360" w:lineRule="auto"/>
        <w:ind w:firstLine="420" w:firstLineChars="200"/>
      </w:pPr>
      <w:r>
        <w:rPr>
          <w:rFonts w:hint="eastAsia" w:ascii="宋体" w:hAnsi="宋体" w:cs="宋体"/>
          <w:kern w:val="0"/>
          <w:szCs w:val="21"/>
        </w:rPr>
        <w:t>4、供应商按格式填列，不得自行更改。否则引起的不利后果由供应商承担。</w:t>
      </w:r>
    </w:p>
    <w:p>
      <w:pPr>
        <w:spacing w:line="360" w:lineRule="auto"/>
        <w:ind w:firstLine="420" w:firstLineChars="200"/>
        <w:jc w:val="center"/>
        <w:rPr>
          <w:rFonts w:ascii="宋体" w:hAnsi="宋体"/>
          <w:szCs w:val="21"/>
        </w:rPr>
      </w:pPr>
      <w:bookmarkStart w:id="63" w:name="_Toc11620"/>
      <w:bookmarkStart w:id="64" w:name="_Toc20877"/>
      <w:r>
        <w:rPr>
          <w:rFonts w:hint="eastAsia" w:ascii="宋体" w:hAnsi="宋体"/>
          <w:szCs w:val="21"/>
        </w:rPr>
        <w:t>供应商（全称并加盖公章）：</w:t>
      </w:r>
      <w:bookmarkEnd w:id="63"/>
      <w:bookmarkEnd w:id="64"/>
    </w:p>
    <w:p>
      <w:pPr>
        <w:spacing w:line="360" w:lineRule="auto"/>
        <w:ind w:firstLine="420" w:firstLineChars="200"/>
        <w:jc w:val="center"/>
        <w:rPr>
          <w:rFonts w:ascii="宋体" w:hAnsi="宋体"/>
          <w:szCs w:val="21"/>
          <w:u w:val="single"/>
        </w:rPr>
      </w:pPr>
      <w:bookmarkStart w:id="65" w:name="_Toc12222"/>
      <w:bookmarkStart w:id="66" w:name="_Toc625"/>
      <w:r>
        <w:rPr>
          <w:rFonts w:hint="eastAsia" w:ascii="宋体" w:hAnsi="宋体"/>
          <w:szCs w:val="21"/>
        </w:rPr>
        <w:t>法定代表人或其委托代理人（签字</w:t>
      </w:r>
      <w:r>
        <w:rPr>
          <w:rFonts w:hint="eastAsia" w:ascii="宋体" w:hAnsi="宋体" w:cs="宋体"/>
          <w:kern w:val="0"/>
          <w:szCs w:val="21"/>
        </w:rPr>
        <w:t>或盖章</w:t>
      </w:r>
      <w:r>
        <w:rPr>
          <w:rFonts w:hint="eastAsia" w:ascii="宋体" w:hAnsi="宋体"/>
          <w:szCs w:val="21"/>
        </w:rPr>
        <w:t>）：</w:t>
      </w:r>
      <w:bookmarkEnd w:id="65"/>
      <w:bookmarkEnd w:id="66"/>
    </w:p>
    <w:p>
      <w:pPr>
        <w:jc w:val="center"/>
        <w:rPr>
          <w:rFonts w:ascii="宋体" w:hAnsi="宋体"/>
          <w:szCs w:val="21"/>
        </w:rPr>
      </w:pPr>
    </w:p>
    <w:p>
      <w:pPr>
        <w:spacing w:line="360" w:lineRule="auto"/>
        <w:ind w:firstLine="420" w:firstLineChars="200"/>
        <w:jc w:val="center"/>
      </w:pPr>
      <w:bookmarkStart w:id="67" w:name="_Toc1330"/>
      <w:bookmarkStart w:id="68" w:name="_Toc9950"/>
      <w:r>
        <w:rPr>
          <w:rFonts w:hint="eastAsia" w:ascii="宋体" w:hAnsi="宋体"/>
          <w:szCs w:val="21"/>
        </w:rPr>
        <w:t>年  月  日</w:t>
      </w:r>
      <w:bookmarkEnd w:id="67"/>
      <w:bookmarkEnd w:id="68"/>
    </w:p>
    <w:p/>
    <w:bookmarkEnd w:id="44"/>
    <w:bookmarkEnd w:id="45"/>
    <w:p>
      <w:pPr>
        <w:spacing w:before="20" w:after="20"/>
        <w:rPr>
          <w:rFonts w:eastAsia="黑体"/>
          <w:color w:val="000000" w:themeColor="text1"/>
        </w:rPr>
      </w:pPr>
      <w:bookmarkStart w:id="69" w:name="_Toc22004"/>
      <w:bookmarkStart w:id="70" w:name="_Toc24984"/>
    </w:p>
    <w:p/>
    <w:p>
      <w:pPr>
        <w:rPr>
          <w:color w:val="000000" w:themeColor="text1"/>
        </w:rPr>
      </w:pPr>
      <w:r>
        <w:rPr>
          <w:rFonts w:hint="eastAsia"/>
          <w:color w:val="000000" w:themeColor="text1"/>
        </w:rPr>
        <w:br w:type="page"/>
      </w:r>
    </w:p>
    <w:p>
      <w:pPr>
        <w:pStyle w:val="6"/>
        <w:spacing w:before="20" w:after="20"/>
        <w:rPr>
          <w:color w:val="000000" w:themeColor="text1"/>
        </w:rPr>
      </w:pPr>
      <w:r>
        <w:rPr>
          <w:rFonts w:hint="eastAsia"/>
          <w:color w:val="000000" w:themeColor="text1"/>
        </w:rPr>
        <w:t xml:space="preserve">附件4               </w:t>
      </w:r>
      <w:bookmarkEnd w:id="69"/>
      <w:bookmarkEnd w:id="70"/>
      <w:r>
        <w:rPr>
          <w:rFonts w:hint="eastAsia"/>
          <w:color w:val="000000" w:themeColor="text1"/>
        </w:rPr>
        <w:t>报价明细表</w:t>
      </w:r>
    </w:p>
    <w:p>
      <w:pPr>
        <w:widowControl/>
        <w:wordWrap w:val="0"/>
        <w:snapToGrid w:val="0"/>
        <w:spacing w:before="50" w:after="50"/>
        <w:ind w:left="88" w:leftChars="42" w:right="-817" w:rightChars="-389" w:firstLine="4161" w:firstLineChars="1734"/>
        <w:jc w:val="left"/>
        <w:rPr>
          <w:rFonts w:ascii="宋体" w:hAnsi="宋体" w:cs="宋体"/>
          <w:color w:val="000000" w:themeColor="text1"/>
          <w:kern w:val="0"/>
          <w:sz w:val="24"/>
        </w:rPr>
      </w:pPr>
      <w:r>
        <w:rPr>
          <w:rFonts w:hint="eastAsia" w:ascii="宋体" w:hAnsi="宋体" w:cs="宋体"/>
          <w:color w:val="000000" w:themeColor="text1"/>
          <w:kern w:val="0"/>
          <w:sz w:val="24"/>
        </w:rPr>
        <w:t xml:space="preserve">                    金额单位：人民币（元）</w:t>
      </w:r>
    </w:p>
    <w:tbl>
      <w:tblPr>
        <w:tblStyle w:val="32"/>
        <w:tblW w:w="9205" w:type="dxa"/>
        <w:tblInd w:w="132"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2017"/>
        <w:gridCol w:w="1516"/>
        <w:gridCol w:w="1541"/>
        <w:gridCol w:w="1198"/>
        <w:gridCol w:w="1117"/>
        <w:gridCol w:w="9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90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r>
              <w:rPr>
                <w:rFonts w:hint="eastAsia" w:ascii="宋体" w:hAnsi="宋体" w:cs="宋体"/>
                <w:color w:val="000000" w:themeColor="text1"/>
                <w:kern w:val="0"/>
                <w:sz w:val="24"/>
              </w:rPr>
              <w:t>序号</w:t>
            </w:r>
          </w:p>
        </w:tc>
        <w:tc>
          <w:tcPr>
            <w:tcW w:w="20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r>
              <w:rPr>
                <w:rFonts w:hint="eastAsia" w:ascii="宋体" w:hAnsi="宋体" w:cs="宋体"/>
                <w:color w:val="000000" w:themeColor="text1"/>
                <w:spacing w:val="20"/>
                <w:kern w:val="0"/>
                <w:sz w:val="24"/>
              </w:rPr>
              <w:t>名称</w:t>
            </w:r>
          </w:p>
        </w:tc>
        <w:tc>
          <w:tcPr>
            <w:tcW w:w="15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r>
              <w:rPr>
                <w:rFonts w:hint="eastAsia" w:ascii="宋体" w:hAnsi="宋体" w:cs="宋体"/>
                <w:color w:val="000000" w:themeColor="text1"/>
                <w:spacing w:val="20"/>
                <w:kern w:val="0"/>
                <w:sz w:val="24"/>
              </w:rPr>
              <w:t>单位</w:t>
            </w:r>
          </w:p>
        </w:tc>
        <w:tc>
          <w:tcPr>
            <w:tcW w:w="1541"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r>
              <w:rPr>
                <w:rFonts w:hint="eastAsia" w:ascii="宋体" w:hAnsi="宋体" w:cs="宋体"/>
                <w:color w:val="000000" w:themeColor="text1"/>
                <w:kern w:val="0"/>
                <w:sz w:val="24"/>
              </w:rPr>
              <w:t>数量</w:t>
            </w:r>
          </w:p>
        </w:tc>
        <w:tc>
          <w:tcPr>
            <w:tcW w:w="1198"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r>
              <w:rPr>
                <w:rFonts w:hint="eastAsia" w:ascii="宋体" w:hAnsi="宋体" w:cs="宋体"/>
                <w:color w:val="000000" w:themeColor="text1"/>
                <w:kern w:val="0"/>
                <w:sz w:val="24"/>
              </w:rPr>
              <w:t>单价</w:t>
            </w:r>
          </w:p>
        </w:tc>
        <w:tc>
          <w:tcPr>
            <w:tcW w:w="1117"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r>
              <w:rPr>
                <w:rFonts w:hint="eastAsia" w:ascii="宋体" w:hAnsi="宋体" w:cs="宋体"/>
                <w:color w:val="000000" w:themeColor="text1"/>
                <w:spacing w:val="20"/>
                <w:kern w:val="0"/>
                <w:sz w:val="24"/>
              </w:rPr>
              <w:t>金额</w:t>
            </w:r>
          </w:p>
        </w:tc>
        <w:tc>
          <w:tcPr>
            <w:tcW w:w="91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r>
              <w:rPr>
                <w:rFonts w:hint="eastAsia" w:ascii="宋体" w:hAnsi="宋体" w:cs="宋体"/>
                <w:color w:val="000000" w:themeColor="text1"/>
                <w:spacing w:val="20"/>
                <w:kern w:val="0"/>
                <w:sz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0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20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r>
              <w:rPr>
                <w:rFonts w:hint="eastAsia" w:ascii="宋体" w:hAnsi="宋体" w:cs="宋体"/>
                <w:color w:val="000000" w:themeColor="text1"/>
                <w:spacing w:val="20"/>
                <w:kern w:val="0"/>
                <w:sz w:val="24"/>
              </w:rPr>
              <w:t xml:space="preserve">…… </w:t>
            </w:r>
          </w:p>
        </w:tc>
        <w:tc>
          <w:tcPr>
            <w:tcW w:w="15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541"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19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000000" w:themeColor="text1"/>
                <w:spacing w:val="20"/>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7172" w:type="dxa"/>
            <w:gridSpan w:val="5"/>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left"/>
              <w:rPr>
                <w:rFonts w:ascii="宋体" w:hAnsi="宋体" w:cs="宋体"/>
                <w:color w:val="000000" w:themeColor="text1"/>
                <w:spacing w:val="20"/>
                <w:kern w:val="0"/>
                <w:sz w:val="24"/>
              </w:rPr>
            </w:pPr>
            <w:r>
              <w:rPr>
                <w:rFonts w:hint="eastAsia" w:ascii="宋体" w:hAnsi="宋体" w:cs="宋体"/>
                <w:color w:val="000000" w:themeColor="text1"/>
                <w:spacing w:val="20"/>
                <w:kern w:val="0"/>
                <w:sz w:val="24"/>
              </w:rPr>
              <w:t>投标总价(</w:t>
            </w:r>
            <w:r>
              <w:rPr>
                <w:rFonts w:hint="eastAsia" w:ascii="宋体" w:hAnsi="宋体" w:cs="宋体"/>
                <w:color w:val="000000" w:themeColor="text1"/>
                <w:kern w:val="0"/>
                <w:sz w:val="24"/>
                <w:szCs w:val="21"/>
              </w:rPr>
              <w:t>大写)：</w:t>
            </w:r>
          </w:p>
        </w:tc>
        <w:tc>
          <w:tcPr>
            <w:tcW w:w="1117"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left"/>
              <w:rPr>
                <w:rFonts w:ascii="宋体" w:hAnsi="宋体" w:cs="宋体"/>
                <w:color w:val="000000" w:themeColor="text1"/>
                <w:spacing w:val="20"/>
                <w:kern w:val="0"/>
                <w:sz w:val="24"/>
              </w:rPr>
            </w:pPr>
            <w:r>
              <w:rPr>
                <w:rFonts w:hint="eastAsia" w:ascii="宋体" w:hAnsi="宋体" w:cs="宋体"/>
                <w:color w:val="000000" w:themeColor="text1"/>
                <w:kern w:val="0"/>
                <w:sz w:val="24"/>
                <w:szCs w:val="21"/>
              </w:rPr>
              <w:t>￥</w:t>
            </w:r>
          </w:p>
        </w:tc>
        <w:tc>
          <w:tcPr>
            <w:tcW w:w="91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left"/>
              <w:rPr>
                <w:rFonts w:ascii="宋体" w:hAnsi="宋体" w:cs="宋体"/>
                <w:color w:val="000000" w:themeColor="text1"/>
                <w:kern w:val="0"/>
                <w:sz w:val="24"/>
                <w:szCs w:val="21"/>
              </w:rPr>
            </w:pPr>
          </w:p>
        </w:tc>
      </w:tr>
    </w:tbl>
    <w:p>
      <w:pPr>
        <w:widowControl/>
        <w:wordWrap w:val="0"/>
        <w:spacing w:line="460" w:lineRule="exact"/>
        <w:ind w:firstLine="2760" w:firstLineChars="1150"/>
        <w:jc w:val="left"/>
        <w:rPr>
          <w:rFonts w:ascii="宋体" w:hAnsi="宋体" w:cs="宋体"/>
          <w:kern w:val="0"/>
          <w:sz w:val="24"/>
        </w:rPr>
      </w:pPr>
    </w:p>
    <w:p>
      <w:pPr>
        <w:widowControl/>
        <w:shd w:val="clear" w:color="auto" w:fill="FFFFFF"/>
        <w:spacing w:line="360" w:lineRule="auto"/>
        <w:ind w:left="1418" w:hanging="567"/>
        <w:rPr>
          <w:rFonts w:ascii="宋体" w:hAnsi="宋体" w:cs="宋体"/>
          <w:kern w:val="0"/>
          <w:sz w:val="24"/>
        </w:rPr>
      </w:pPr>
    </w:p>
    <w:p>
      <w:pPr>
        <w:pStyle w:val="30"/>
        <w:ind w:firstLine="210"/>
      </w:pPr>
    </w:p>
    <w:p>
      <w:pPr>
        <w:widowControl/>
        <w:shd w:val="clear" w:color="auto" w:fill="FFFFFF"/>
        <w:spacing w:line="360" w:lineRule="auto"/>
        <w:ind w:left="1418" w:hanging="567"/>
        <w:rPr>
          <w:rFonts w:ascii="宋体" w:hAnsi="宋体" w:cs="宋体"/>
          <w:kern w:val="0"/>
          <w:sz w:val="24"/>
        </w:rPr>
      </w:pPr>
      <w:r>
        <w:rPr>
          <w:rFonts w:hint="eastAsia" w:ascii="宋体" w:hAnsi="宋体" w:cs="宋体"/>
          <w:kern w:val="0"/>
          <w:sz w:val="24"/>
        </w:rPr>
        <w:t>供应商法定代表人或其授权代表签字：</w:t>
      </w:r>
    </w:p>
    <w:p>
      <w:pPr>
        <w:widowControl/>
        <w:shd w:val="clear" w:color="auto" w:fill="FFFFFF"/>
        <w:spacing w:line="360" w:lineRule="auto"/>
        <w:jc w:val="left"/>
        <w:rPr>
          <w:rFonts w:ascii="宋体" w:hAnsi="宋体" w:cs="宋体"/>
          <w:kern w:val="0"/>
          <w:sz w:val="24"/>
        </w:rPr>
      </w:pPr>
      <w:r>
        <w:rPr>
          <w:rFonts w:hint="eastAsia" w:ascii="宋体" w:hAnsi="宋体" w:cs="宋体"/>
          <w:kern w:val="0"/>
          <w:sz w:val="24"/>
        </w:rPr>
        <w:t xml:space="preserve">              供应商名称： （全称并加盖公章）</w:t>
      </w:r>
    </w:p>
    <w:p>
      <w:pPr>
        <w:widowControl/>
        <w:wordWrap w:val="0"/>
        <w:spacing w:line="460" w:lineRule="exact"/>
        <w:jc w:val="left"/>
        <w:rPr>
          <w:rFonts w:ascii="宋体" w:hAnsi="宋体" w:cs="宋体"/>
          <w:kern w:val="0"/>
          <w:sz w:val="24"/>
        </w:rPr>
      </w:pPr>
    </w:p>
    <w:p>
      <w:pPr>
        <w:widowControl/>
        <w:wordWrap w:val="0"/>
        <w:spacing w:line="460" w:lineRule="exact"/>
        <w:ind w:firstLine="2880" w:firstLineChars="1200"/>
        <w:jc w:val="left"/>
      </w:pPr>
      <w:r>
        <w:rPr>
          <w:rFonts w:hint="eastAsia" w:ascii="宋体" w:hAnsi="宋体" w:cs="宋体"/>
          <w:kern w:val="0"/>
          <w:sz w:val="24"/>
        </w:rPr>
        <w:t>年    月    日</w:t>
      </w:r>
    </w:p>
    <w:p>
      <w:pPr>
        <w:widowControl/>
        <w:wordWrap w:val="0"/>
        <w:spacing w:line="460" w:lineRule="exact"/>
        <w:ind w:firstLine="4200" w:firstLineChars="2000"/>
        <w:jc w:val="left"/>
      </w:pPr>
    </w:p>
    <w:p>
      <w:pPr>
        <w:pStyle w:val="6"/>
      </w:pPr>
      <w:r>
        <w:rPr>
          <w:rFonts w:hint="eastAsia"/>
        </w:rPr>
        <w:br w:type="page"/>
      </w:r>
      <w:bookmarkStart w:id="71" w:name="_Toc226"/>
      <w:bookmarkStart w:id="72" w:name="_Toc15804"/>
      <w:r>
        <w:rPr>
          <w:rFonts w:hint="eastAsia"/>
        </w:rPr>
        <w:t xml:space="preserve">附件5         </w:t>
      </w:r>
      <w:bookmarkEnd w:id="71"/>
      <w:bookmarkEnd w:id="72"/>
      <w:r>
        <w:rPr>
          <w:rFonts w:hint="eastAsia"/>
        </w:rPr>
        <w:t xml:space="preserve">     技术响应部分</w:t>
      </w:r>
    </w:p>
    <w:p>
      <w:pPr>
        <w:widowControl/>
        <w:wordWrap w:val="0"/>
        <w:spacing w:line="460" w:lineRule="exact"/>
        <w:ind w:firstLine="643" w:firstLineChars="200"/>
        <w:jc w:val="left"/>
        <w:rPr>
          <w:rFonts w:ascii="宋体" w:hAnsi="宋体" w:cs="宋体"/>
          <w:b/>
          <w:kern w:val="0"/>
          <w:sz w:val="32"/>
          <w:szCs w:val="32"/>
        </w:rPr>
      </w:pPr>
      <w:r>
        <w:rPr>
          <w:rFonts w:hint="eastAsia" w:ascii="宋体" w:hAnsi="宋体" w:cs="宋体"/>
          <w:b/>
          <w:kern w:val="0"/>
          <w:sz w:val="32"/>
          <w:szCs w:val="32"/>
        </w:rPr>
        <w:t>技术部分相关证明文件</w:t>
      </w:r>
    </w:p>
    <w:p>
      <w:pPr>
        <w:widowControl/>
        <w:wordWrap w:val="0"/>
        <w:snapToGrid w:val="0"/>
        <w:spacing w:before="50" w:afterLines="50"/>
        <w:jc w:val="left"/>
        <w:rPr>
          <w:rFonts w:ascii="宋体" w:hAnsi="宋体" w:cs="宋体"/>
          <w:kern w:val="0"/>
          <w:sz w:val="24"/>
          <w:u w:val="single"/>
        </w:rPr>
      </w:pPr>
    </w:p>
    <w:p>
      <w:pPr>
        <w:rPr>
          <w:rFonts w:ascii="宋体" w:hAnsi="宋体" w:cs="宋体"/>
          <w:b/>
          <w:kern w:val="0"/>
          <w:sz w:val="24"/>
        </w:rPr>
      </w:pPr>
      <w:r>
        <w:rPr>
          <w:rFonts w:hint="eastAsia" w:ascii="宋体" w:hAnsi="宋体" w:cs="宋体"/>
          <w:b/>
          <w:kern w:val="0"/>
          <w:sz w:val="24"/>
        </w:rPr>
        <w:br w:type="page"/>
      </w:r>
    </w:p>
    <w:p/>
    <w:p>
      <w:pPr>
        <w:widowControl/>
        <w:wordWrap w:val="0"/>
        <w:snapToGrid w:val="0"/>
        <w:spacing w:line="460" w:lineRule="exact"/>
        <w:jc w:val="left"/>
        <w:outlineLvl w:val="0"/>
        <w:rPr>
          <w:rFonts w:ascii="Arial" w:hAnsi="Arial" w:eastAsia="新宋体"/>
          <w:b/>
          <w:sz w:val="28"/>
        </w:rPr>
      </w:pPr>
      <w:bookmarkStart w:id="73" w:name="_Toc20420"/>
      <w:bookmarkStart w:id="74" w:name="_Toc29960"/>
      <w:r>
        <w:rPr>
          <w:rFonts w:hint="eastAsia" w:ascii="Arial" w:hAnsi="Arial" w:eastAsia="新宋体"/>
          <w:b/>
          <w:sz w:val="28"/>
        </w:rPr>
        <w:t>附件6               商务响应</w:t>
      </w:r>
      <w:bookmarkEnd w:id="73"/>
      <w:bookmarkEnd w:id="74"/>
      <w:r>
        <w:rPr>
          <w:rFonts w:hint="eastAsia" w:ascii="Arial" w:hAnsi="Arial" w:eastAsia="新宋体"/>
          <w:b/>
          <w:sz w:val="28"/>
        </w:rPr>
        <w:t>部分</w:t>
      </w:r>
    </w:p>
    <w:p>
      <w:pPr>
        <w:widowControl/>
        <w:wordWrap w:val="0"/>
        <w:spacing w:line="460" w:lineRule="exact"/>
        <w:jc w:val="left"/>
        <w:rPr>
          <w:rFonts w:ascii="宋体" w:hAnsi="宋体" w:cs="宋体"/>
          <w:b/>
          <w:kern w:val="0"/>
          <w:sz w:val="32"/>
          <w:szCs w:val="32"/>
        </w:rPr>
      </w:pPr>
    </w:p>
    <w:p>
      <w:pPr>
        <w:widowControl/>
        <w:wordWrap w:val="0"/>
        <w:spacing w:line="460" w:lineRule="exact"/>
        <w:ind w:firstLine="643" w:firstLineChars="200"/>
        <w:jc w:val="left"/>
        <w:rPr>
          <w:rFonts w:ascii="宋体" w:hAnsi="宋体" w:cs="宋体"/>
          <w:b/>
          <w:kern w:val="0"/>
          <w:sz w:val="32"/>
          <w:szCs w:val="32"/>
        </w:rPr>
      </w:pPr>
      <w:r>
        <w:rPr>
          <w:rFonts w:hint="eastAsia" w:ascii="宋体" w:hAnsi="宋体" w:cs="宋体"/>
          <w:b/>
          <w:kern w:val="0"/>
          <w:sz w:val="32"/>
          <w:szCs w:val="32"/>
        </w:rPr>
        <w:t>商务部分相关证明文件</w:t>
      </w:r>
    </w:p>
    <w:p>
      <w:pPr>
        <w:rPr>
          <w:rFonts w:cs="宋体"/>
          <w:b/>
          <w:kern w:val="0"/>
          <w:sz w:val="24"/>
        </w:rPr>
      </w:pPr>
    </w:p>
    <w:p>
      <w:pPr>
        <w:pStyle w:val="30"/>
        <w:ind w:firstLine="210"/>
      </w:pPr>
    </w:p>
    <w:p/>
    <w:p/>
    <w:p/>
    <w:p/>
    <w:p/>
    <w:p/>
    <w:p/>
    <w:p/>
    <w:p/>
    <w:p/>
    <w:p/>
    <w:p/>
    <w:p/>
    <w:p/>
    <w:p/>
    <w:p/>
    <w:p>
      <w:pPr>
        <w:rPr>
          <w:rFonts w:ascii="Arial" w:hAnsi="Arial" w:eastAsia="新宋体"/>
          <w:b/>
          <w:sz w:val="28"/>
        </w:rPr>
      </w:pPr>
      <w:bookmarkStart w:id="75" w:name="_Toc28621"/>
      <w:bookmarkStart w:id="76" w:name="_Toc31526"/>
      <w:r>
        <w:rPr>
          <w:rFonts w:hint="eastAsia" w:ascii="Arial" w:hAnsi="Arial" w:eastAsia="新宋体"/>
          <w:b/>
          <w:sz w:val="28"/>
        </w:rPr>
        <w:br w:type="page"/>
      </w:r>
    </w:p>
    <w:p>
      <w:pPr>
        <w:widowControl/>
        <w:wordWrap w:val="0"/>
        <w:spacing w:line="460" w:lineRule="exact"/>
        <w:jc w:val="left"/>
        <w:outlineLvl w:val="0"/>
        <w:rPr>
          <w:rFonts w:ascii="Arial" w:hAnsi="Arial" w:eastAsia="新宋体"/>
          <w:b/>
          <w:sz w:val="28"/>
        </w:rPr>
      </w:pPr>
      <w:r>
        <w:rPr>
          <w:rFonts w:hint="eastAsia" w:ascii="Arial" w:hAnsi="Arial" w:eastAsia="新宋体"/>
          <w:b/>
          <w:sz w:val="28"/>
        </w:rPr>
        <w:t>附件7               法定代表人身份证明（格式）</w:t>
      </w:r>
      <w:bookmarkEnd w:id="75"/>
      <w:bookmarkEnd w:id="76"/>
    </w:p>
    <w:p>
      <w:pPr>
        <w:widowControl/>
        <w:wordWrap w:val="0"/>
        <w:spacing w:line="460" w:lineRule="exact"/>
        <w:jc w:val="left"/>
        <w:rPr>
          <w:rFonts w:ascii="宋体" w:hAnsi="宋体" w:cs="宋体"/>
          <w:kern w:val="0"/>
          <w:sz w:val="24"/>
        </w:rPr>
      </w:pPr>
    </w:p>
    <w:p>
      <w:pPr>
        <w:widowControl/>
        <w:wordWrap w:val="0"/>
        <w:spacing w:line="460" w:lineRule="exact"/>
        <w:ind w:firstLine="480" w:firstLineChars="200"/>
        <w:jc w:val="left"/>
        <w:rPr>
          <w:rFonts w:ascii="宋体" w:hAnsi="宋体" w:cs="宋体"/>
          <w:kern w:val="0"/>
          <w:sz w:val="24"/>
        </w:rPr>
      </w:pPr>
      <w:r>
        <w:rPr>
          <w:rFonts w:hint="eastAsia" w:ascii="宋体" w:hAnsi="宋体" w:cs="宋体"/>
          <w:kern w:val="0"/>
          <w:sz w:val="24"/>
        </w:rPr>
        <w:t>供应商名称：</w:t>
      </w:r>
    </w:p>
    <w:p>
      <w:pPr>
        <w:widowControl/>
        <w:wordWrap w:val="0"/>
        <w:spacing w:line="460" w:lineRule="exact"/>
        <w:ind w:firstLine="480" w:firstLineChars="200"/>
        <w:jc w:val="left"/>
        <w:rPr>
          <w:rFonts w:ascii="宋体" w:hAnsi="宋体" w:cs="宋体"/>
          <w:kern w:val="0"/>
          <w:sz w:val="24"/>
          <w:u w:val="single"/>
        </w:rPr>
      </w:pPr>
      <w:r>
        <w:rPr>
          <w:rFonts w:hint="eastAsia" w:ascii="宋体" w:hAnsi="宋体" w:cs="宋体"/>
          <w:kern w:val="0"/>
          <w:sz w:val="24"/>
        </w:rPr>
        <w:t>地址：</w:t>
      </w:r>
    </w:p>
    <w:p>
      <w:pPr>
        <w:widowControl/>
        <w:wordWrap w:val="0"/>
        <w:spacing w:line="460" w:lineRule="exact"/>
        <w:ind w:firstLine="480" w:firstLineChars="200"/>
        <w:jc w:val="left"/>
        <w:rPr>
          <w:rFonts w:ascii="宋体" w:hAnsi="宋体" w:cs="宋体"/>
          <w:kern w:val="0"/>
          <w:sz w:val="24"/>
          <w:szCs w:val="20"/>
        </w:rPr>
      </w:pPr>
      <w:r>
        <w:rPr>
          <w:rFonts w:hint="eastAsia" w:ascii="宋体" w:hAnsi="宋体" w:cs="宋体"/>
          <w:kern w:val="0"/>
          <w:sz w:val="24"/>
        </w:rPr>
        <w:t>成立时间：</w:t>
      </w:r>
      <w:r>
        <w:rPr>
          <w:rFonts w:hint="eastAsia" w:ascii="宋体" w:hAnsi="宋体" w:cs="宋体"/>
          <w:kern w:val="0"/>
          <w:sz w:val="24"/>
          <w:szCs w:val="20"/>
        </w:rPr>
        <w:t>年月日</w:t>
      </w:r>
    </w:p>
    <w:p>
      <w:pPr>
        <w:widowControl/>
        <w:wordWrap w:val="0"/>
        <w:spacing w:line="460" w:lineRule="exact"/>
        <w:ind w:firstLine="480" w:firstLineChars="200"/>
        <w:jc w:val="left"/>
        <w:rPr>
          <w:rFonts w:ascii="宋体" w:hAnsi="宋体" w:cs="宋体"/>
          <w:kern w:val="0"/>
          <w:sz w:val="24"/>
          <w:u w:val="single"/>
        </w:rPr>
      </w:pPr>
      <w:r>
        <w:rPr>
          <w:rFonts w:hint="eastAsia" w:ascii="宋体" w:hAnsi="宋体" w:cs="宋体"/>
          <w:kern w:val="0"/>
          <w:sz w:val="24"/>
          <w:szCs w:val="20"/>
        </w:rPr>
        <w:t>经营期限：</w:t>
      </w:r>
    </w:p>
    <w:p>
      <w:pPr>
        <w:widowControl/>
        <w:wordWrap w:val="0"/>
        <w:spacing w:line="460" w:lineRule="exact"/>
        <w:ind w:firstLine="480" w:firstLineChars="200"/>
        <w:jc w:val="left"/>
        <w:rPr>
          <w:rFonts w:ascii="宋体" w:hAnsi="宋体" w:cs="宋体"/>
          <w:kern w:val="0"/>
          <w:szCs w:val="21"/>
          <w:u w:val="single"/>
        </w:rPr>
      </w:pPr>
      <w:r>
        <w:rPr>
          <w:rFonts w:hint="eastAsia" w:ascii="宋体" w:hAnsi="宋体" w:cs="宋体"/>
          <w:kern w:val="0"/>
          <w:sz w:val="24"/>
        </w:rPr>
        <w:t>姓名：</w:t>
      </w:r>
      <w:r>
        <w:rPr>
          <w:rFonts w:hint="eastAsia" w:ascii="宋体" w:hAnsi="宋体" w:cs="宋体"/>
          <w:kern w:val="0"/>
          <w:sz w:val="24"/>
          <w:szCs w:val="20"/>
        </w:rPr>
        <w:t>，性别：，年龄：，职务：</w:t>
      </w:r>
    </w:p>
    <w:p>
      <w:pPr>
        <w:widowControl/>
        <w:wordWrap w:val="0"/>
        <w:spacing w:line="460" w:lineRule="exact"/>
        <w:jc w:val="left"/>
        <w:rPr>
          <w:rFonts w:ascii="宋体" w:hAnsi="宋体" w:cs="宋体"/>
          <w:kern w:val="0"/>
          <w:sz w:val="24"/>
          <w:szCs w:val="20"/>
        </w:rPr>
      </w:pPr>
      <w:r>
        <w:rPr>
          <w:rFonts w:hint="eastAsia" w:ascii="宋体" w:hAnsi="宋体" w:cs="宋体"/>
          <w:kern w:val="0"/>
          <w:sz w:val="24"/>
          <w:szCs w:val="20"/>
        </w:rPr>
        <w:t>系（供应商名称）的法定代表人。</w:t>
      </w:r>
    </w:p>
    <w:p>
      <w:pPr>
        <w:widowControl/>
        <w:wordWrap w:val="0"/>
        <w:spacing w:line="460" w:lineRule="exact"/>
        <w:jc w:val="left"/>
        <w:rPr>
          <w:rFonts w:ascii="宋体" w:hAnsi="宋体" w:cs="宋体"/>
          <w:kern w:val="0"/>
          <w:sz w:val="24"/>
          <w:szCs w:val="20"/>
        </w:rPr>
      </w:pPr>
    </w:p>
    <w:p>
      <w:pPr>
        <w:widowControl/>
        <w:wordWrap w:val="0"/>
        <w:spacing w:line="460" w:lineRule="exact"/>
        <w:ind w:firstLine="480" w:firstLineChars="200"/>
        <w:jc w:val="left"/>
        <w:rPr>
          <w:rFonts w:ascii="宋体" w:hAnsi="宋体" w:cs="宋体"/>
          <w:kern w:val="0"/>
          <w:sz w:val="24"/>
          <w:szCs w:val="20"/>
        </w:rPr>
      </w:pPr>
      <w:r>
        <w:rPr>
          <w:rFonts w:hint="eastAsia" w:ascii="宋体" w:hAnsi="宋体" w:cs="宋体"/>
          <w:kern w:val="0"/>
          <w:sz w:val="24"/>
          <w:szCs w:val="20"/>
        </w:rPr>
        <w:t>特此证明。</w:t>
      </w:r>
    </w:p>
    <w:p>
      <w:pPr>
        <w:widowControl/>
        <w:wordWrap w:val="0"/>
        <w:spacing w:line="460" w:lineRule="exact"/>
        <w:jc w:val="left"/>
        <w:rPr>
          <w:rFonts w:ascii="宋体" w:hAnsi="宋体" w:cs="宋体"/>
          <w:kern w:val="0"/>
          <w:sz w:val="24"/>
          <w:szCs w:val="20"/>
        </w:rPr>
      </w:pPr>
    </w:p>
    <w:p>
      <w:pPr>
        <w:widowControl/>
        <w:wordWrap w:val="0"/>
        <w:spacing w:beforeLines="100" w:afterLines="100" w:line="480" w:lineRule="exact"/>
        <w:jc w:val="center"/>
        <w:rPr>
          <w:rFonts w:ascii="宋体" w:hAnsi="宋体" w:cs="Lucida Sans Unicode"/>
          <w:b/>
          <w:kern w:val="0"/>
          <w:sz w:val="36"/>
          <w:szCs w:val="36"/>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kern w:val="0"/>
                <w:sz w:val="24"/>
              </w:rPr>
            </w:pPr>
            <w:r>
              <w:rPr>
                <w:rFonts w:hint="eastAsia" w:ascii="宋体" w:hAnsi="宋体" w:cs="Lucida Sans Unicode"/>
                <w:bCs/>
                <w:kern w:val="0"/>
                <w:sz w:val="24"/>
              </w:rPr>
              <w:t>此处请粘贴法定代表人身份证复印件</w:t>
            </w:r>
          </w:p>
          <w:p>
            <w:pPr>
              <w:widowControl/>
              <w:spacing w:line="480" w:lineRule="exact"/>
              <w:jc w:val="left"/>
              <w:rPr>
                <w:rFonts w:ascii="仿宋_GB2312" w:hAnsi="Lucida Sans Unicode" w:eastAsia="仿宋_GB2312" w:cs="Lucida Sans Unicode"/>
                <w:kern w:val="0"/>
                <w:sz w:val="24"/>
              </w:rPr>
            </w:pPr>
          </w:p>
          <w:p>
            <w:pPr>
              <w:widowControl/>
              <w:spacing w:line="480" w:lineRule="exact"/>
              <w:jc w:val="left"/>
              <w:rPr>
                <w:rFonts w:ascii="仿宋_GB2312" w:hAnsi="Lucida Sans Unicode" w:eastAsia="仿宋_GB2312" w:cs="Lucida Sans Unicode"/>
                <w:kern w:val="0"/>
                <w:sz w:val="24"/>
              </w:rPr>
            </w:pPr>
          </w:p>
        </w:tc>
      </w:tr>
    </w:tbl>
    <w:p>
      <w:pPr>
        <w:widowControl/>
        <w:wordWrap w:val="0"/>
        <w:spacing w:beforeLines="100" w:afterLines="100" w:line="480" w:lineRule="exact"/>
        <w:jc w:val="center"/>
        <w:rPr>
          <w:rFonts w:ascii="宋体" w:hAnsi="宋体" w:cs="Lucida Sans Unicode"/>
          <w:b/>
          <w:kern w:val="0"/>
          <w:sz w:val="24"/>
        </w:rPr>
      </w:pPr>
    </w:p>
    <w:p>
      <w:pPr>
        <w:widowControl/>
        <w:wordWrap w:val="0"/>
        <w:spacing w:beforeLines="100" w:afterLines="100" w:line="480" w:lineRule="exact"/>
        <w:jc w:val="center"/>
        <w:rPr>
          <w:rFonts w:ascii="Lucida Sans Unicode" w:hAnsi="Lucida Sans Unicode" w:cs="Lucida Sans Unicode"/>
          <w:b/>
          <w:kern w:val="0"/>
          <w:sz w:val="36"/>
          <w:szCs w:val="36"/>
        </w:rPr>
      </w:pPr>
    </w:p>
    <w:p>
      <w:pPr>
        <w:widowControl/>
        <w:wordWrap w:val="0"/>
        <w:spacing w:beforeLines="100" w:afterLines="100" w:line="480" w:lineRule="exact"/>
        <w:jc w:val="center"/>
        <w:rPr>
          <w:rFonts w:ascii="Lucida Sans Unicode" w:hAnsi="Lucida Sans Unicode" w:cs="Lucida Sans Unicode"/>
          <w:b/>
          <w:kern w:val="0"/>
          <w:sz w:val="36"/>
          <w:szCs w:val="36"/>
        </w:rPr>
      </w:pPr>
    </w:p>
    <w:p>
      <w:pPr>
        <w:widowControl/>
        <w:wordWrap w:val="0"/>
        <w:spacing w:line="480" w:lineRule="exact"/>
        <w:jc w:val="right"/>
        <w:rPr>
          <w:rFonts w:ascii="仿宋_GB2312" w:hAnsi="仿宋_GB2312" w:eastAsia="仿宋_GB2312" w:cs="Lucida Sans Unicode"/>
          <w:kern w:val="0"/>
          <w:sz w:val="24"/>
        </w:rPr>
      </w:pPr>
    </w:p>
    <w:p>
      <w:pPr>
        <w:widowControl/>
        <w:wordWrap w:val="0"/>
        <w:spacing w:line="480" w:lineRule="exact"/>
        <w:jc w:val="right"/>
        <w:rPr>
          <w:rFonts w:ascii="仿宋_GB2312" w:hAnsi="仿宋_GB2312" w:eastAsia="仿宋_GB2312" w:cs="Lucida Sans Unicode"/>
          <w:kern w:val="0"/>
          <w:sz w:val="24"/>
        </w:rPr>
      </w:pPr>
    </w:p>
    <w:p>
      <w:pPr>
        <w:widowControl/>
        <w:wordWrap w:val="0"/>
        <w:snapToGrid w:val="0"/>
        <w:spacing w:line="460" w:lineRule="exact"/>
        <w:ind w:firstLine="2760" w:firstLineChars="1150"/>
        <w:jc w:val="left"/>
        <w:rPr>
          <w:rFonts w:ascii="宋体" w:hAnsi="宋体" w:cs="宋体"/>
          <w:kern w:val="0"/>
          <w:sz w:val="24"/>
        </w:rPr>
      </w:pPr>
      <w:r>
        <w:rPr>
          <w:rFonts w:hint="eastAsia" w:ascii="宋体" w:hAnsi="宋体" w:cs="宋体"/>
          <w:kern w:val="0"/>
          <w:sz w:val="24"/>
        </w:rPr>
        <w:t>供应商：（全称并加盖公章）</w:t>
      </w:r>
    </w:p>
    <w:p>
      <w:pPr>
        <w:widowControl/>
        <w:wordWrap w:val="0"/>
        <w:spacing w:line="460" w:lineRule="exact"/>
        <w:ind w:left="3780" w:leftChars="1800" w:firstLine="480" w:firstLineChars="200"/>
        <w:jc w:val="left"/>
        <w:rPr>
          <w:rFonts w:ascii="宋体" w:hAnsi="宋体" w:cs="宋体"/>
          <w:kern w:val="0"/>
          <w:sz w:val="24"/>
        </w:rPr>
      </w:pPr>
      <w:r>
        <w:rPr>
          <w:rFonts w:hint="eastAsia" w:ascii="宋体" w:hAnsi="宋体" w:cs="宋体"/>
          <w:kern w:val="0"/>
          <w:sz w:val="24"/>
        </w:rPr>
        <w:t>年    月    日</w:t>
      </w:r>
    </w:p>
    <w:p/>
    <w:p>
      <w:r>
        <w:br w:type="page"/>
      </w:r>
    </w:p>
    <w:p>
      <w:pPr>
        <w:pStyle w:val="52"/>
        <w:rPr>
          <w:color w:val="auto"/>
        </w:rPr>
      </w:pPr>
    </w:p>
    <w:p>
      <w:pPr>
        <w:widowControl/>
        <w:wordWrap w:val="0"/>
        <w:spacing w:line="460" w:lineRule="exact"/>
        <w:ind w:firstLine="365" w:firstLineChars="130"/>
        <w:jc w:val="left"/>
        <w:outlineLvl w:val="0"/>
        <w:rPr>
          <w:rFonts w:ascii="Arial" w:hAnsi="Arial" w:eastAsia="新宋体"/>
          <w:b/>
          <w:sz w:val="28"/>
        </w:rPr>
      </w:pPr>
      <w:bookmarkStart w:id="77" w:name="_Toc30519"/>
      <w:bookmarkStart w:id="78" w:name="_Toc13976"/>
      <w:r>
        <w:rPr>
          <w:rFonts w:hint="eastAsia" w:ascii="Arial" w:hAnsi="Arial" w:eastAsia="新宋体"/>
          <w:b/>
          <w:sz w:val="28"/>
        </w:rPr>
        <w:t>附件8               法定代表人授权书（格式）</w:t>
      </w:r>
      <w:bookmarkEnd w:id="77"/>
      <w:bookmarkEnd w:id="78"/>
    </w:p>
    <w:p>
      <w:pPr>
        <w:widowControl/>
        <w:tabs>
          <w:tab w:val="left" w:pos="420"/>
          <w:tab w:val="left" w:pos="2160"/>
        </w:tabs>
        <w:wordWrap w:val="0"/>
        <w:spacing w:line="460" w:lineRule="exact"/>
        <w:ind w:firstLine="480" w:firstLineChars="200"/>
        <w:jc w:val="left"/>
        <w:rPr>
          <w:rFonts w:ascii="宋体" w:hAnsi="宋体" w:cs="宋体"/>
          <w:kern w:val="0"/>
          <w:sz w:val="24"/>
        </w:rPr>
      </w:pPr>
    </w:p>
    <w:p>
      <w:pPr>
        <w:widowControl/>
        <w:wordWrap w:val="0"/>
        <w:snapToGrid w:val="0"/>
        <w:spacing w:line="460" w:lineRule="exact"/>
        <w:jc w:val="left"/>
        <w:rPr>
          <w:rFonts w:ascii="宋体" w:hAnsi="宋体" w:cs="宋体"/>
          <w:b/>
          <w:bCs/>
          <w:kern w:val="0"/>
          <w:sz w:val="24"/>
        </w:rPr>
      </w:pPr>
      <w:r>
        <w:rPr>
          <w:rFonts w:hint="eastAsia" w:ascii="宋体" w:hAnsi="宋体" w:cs="宋体"/>
          <w:bCs/>
          <w:kern w:val="0"/>
          <w:sz w:val="24"/>
        </w:rPr>
        <w:t>致：</w:t>
      </w:r>
      <w:r>
        <w:rPr>
          <w:rFonts w:hint="eastAsia" w:ascii="宋体" w:hAnsi="宋体" w:cs="宋体"/>
          <w:kern w:val="0"/>
          <w:sz w:val="24"/>
        </w:rPr>
        <w:t>（采购人名称）：</w:t>
      </w:r>
    </w:p>
    <w:p>
      <w:pPr>
        <w:widowControl/>
        <w:wordWrap w:val="0"/>
        <w:snapToGrid w:val="0"/>
        <w:spacing w:line="460" w:lineRule="exact"/>
        <w:ind w:firstLine="480" w:firstLineChars="200"/>
        <w:jc w:val="left"/>
        <w:rPr>
          <w:rFonts w:ascii="宋体" w:hAnsi="宋体" w:cs="宋体"/>
          <w:kern w:val="0"/>
          <w:sz w:val="24"/>
        </w:rPr>
      </w:pPr>
      <w:r>
        <w:rPr>
          <w:rFonts w:hint="eastAsia" w:ascii="宋体" w:hAnsi="宋体" w:cs="宋体"/>
          <w:kern w:val="0"/>
          <w:sz w:val="24"/>
        </w:rPr>
        <w:t>我（姓名）系（供应商名称）的法定代表人，现委托 （姓名）为我方代理人。代理人根据本授权，以我方的名义参加项目的投标活动，并代表我方全权办理针对上述项目的投标、开标、评标、签约等具体事务和签署相关文件。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kern w:val="0"/>
          <w:sz w:val="24"/>
        </w:rPr>
      </w:pPr>
      <w:r>
        <w:rPr>
          <w:rFonts w:hint="eastAsia" w:ascii="宋体" w:hAnsi="宋体" w:cs="宋体"/>
          <w:kern w:val="0"/>
          <w:sz w:val="24"/>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kern w:val="0"/>
          <w:sz w:val="24"/>
        </w:rPr>
      </w:pPr>
      <w:r>
        <w:rPr>
          <w:rFonts w:hint="eastAsia" w:ascii="宋体" w:hAnsi="宋体" w:cs="宋体"/>
          <w:kern w:val="0"/>
          <w:sz w:val="24"/>
        </w:rPr>
        <w:t>如果本次采购活动现场变更采购方式，本授权书有效。</w:t>
      </w:r>
    </w:p>
    <w:p>
      <w:pPr>
        <w:widowControl/>
        <w:wordWrap w:val="0"/>
        <w:snapToGrid w:val="0"/>
        <w:spacing w:line="460" w:lineRule="exact"/>
        <w:ind w:firstLine="480" w:firstLineChars="200"/>
        <w:jc w:val="left"/>
        <w:rPr>
          <w:rFonts w:ascii="宋体" w:hAnsi="宋体" w:cs="宋体"/>
          <w:kern w:val="0"/>
          <w:sz w:val="24"/>
        </w:rPr>
      </w:pPr>
      <w:r>
        <w:rPr>
          <w:rFonts w:hint="eastAsia" w:ascii="宋体" w:hAnsi="宋体" w:cs="宋体"/>
          <w:kern w:val="0"/>
          <w:sz w:val="24"/>
        </w:rPr>
        <w:t>代理人无转委托权。</w:t>
      </w:r>
    </w:p>
    <w:p>
      <w:pPr>
        <w:widowControl/>
        <w:wordWrap w:val="0"/>
        <w:snapToGrid w:val="0"/>
        <w:spacing w:line="460" w:lineRule="exact"/>
        <w:ind w:firstLine="480" w:firstLineChars="200"/>
        <w:jc w:val="left"/>
        <w:rPr>
          <w:rFonts w:ascii="宋体" w:hAnsi="宋体" w:cs="宋体"/>
          <w:kern w:val="0"/>
          <w:sz w:val="24"/>
        </w:rPr>
      </w:pPr>
      <w:r>
        <w:rPr>
          <w:rFonts w:hint="eastAsia" w:ascii="宋体" w:hAnsi="宋体" w:cs="宋体"/>
          <w:kern w:val="0"/>
          <w:sz w:val="24"/>
        </w:rPr>
        <w:t>委托期限：</w:t>
      </w:r>
    </w:p>
    <w:p>
      <w:pPr>
        <w:widowControl/>
        <w:wordWrap w:val="0"/>
        <w:snapToGrid w:val="0"/>
        <w:spacing w:line="460" w:lineRule="exact"/>
        <w:ind w:firstLine="480" w:firstLineChars="200"/>
        <w:jc w:val="left"/>
        <w:rPr>
          <w:rFonts w:ascii="宋体" w:hAnsi="宋体" w:cs="宋体"/>
          <w:kern w:val="0"/>
          <w:sz w:val="24"/>
        </w:rPr>
      </w:pPr>
    </w:p>
    <w:p>
      <w:pPr>
        <w:widowControl/>
        <w:wordWrap w:val="0"/>
        <w:snapToGrid w:val="0"/>
        <w:spacing w:line="460" w:lineRule="exact"/>
        <w:ind w:firstLine="480" w:firstLineChars="200"/>
        <w:jc w:val="left"/>
        <w:rPr>
          <w:rFonts w:ascii="宋体" w:hAnsi="宋体" w:cs="宋体"/>
          <w:kern w:val="0"/>
          <w:sz w:val="24"/>
          <w:u w:val="single"/>
        </w:rPr>
      </w:pPr>
      <w:r>
        <w:rPr>
          <w:rFonts w:hint="eastAsia" w:ascii="宋体" w:hAnsi="宋体" w:cs="宋体"/>
          <w:kern w:val="0"/>
          <w:sz w:val="24"/>
        </w:rPr>
        <w:t>委托代理人签名：             法定代表人签名：</w:t>
      </w:r>
    </w:p>
    <w:p>
      <w:pPr>
        <w:widowControl/>
        <w:wordWrap w:val="0"/>
        <w:snapToGrid w:val="0"/>
        <w:spacing w:line="460" w:lineRule="exact"/>
        <w:ind w:firstLine="480" w:firstLineChars="200"/>
        <w:jc w:val="left"/>
        <w:rPr>
          <w:rFonts w:ascii="宋体" w:hAnsi="宋体" w:cs="宋体"/>
          <w:kern w:val="0"/>
          <w:sz w:val="24"/>
        </w:rPr>
      </w:pPr>
      <w:r>
        <w:rPr>
          <w:rFonts w:hint="eastAsia" w:ascii="宋体" w:hAnsi="宋体" w:cs="宋体"/>
          <w:kern w:val="0"/>
          <w:sz w:val="24"/>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kern w:val="0"/>
                <w:sz w:val="24"/>
              </w:rPr>
            </w:pPr>
            <w:r>
              <w:rPr>
                <w:rFonts w:hint="eastAsia" w:ascii="宋体" w:hAnsi="宋体" w:cs="Lucida Sans Unicode"/>
                <w:bCs/>
                <w:kern w:val="0"/>
                <w:sz w:val="24"/>
              </w:rPr>
              <w:t>此处请粘贴</w:t>
            </w:r>
            <w:r>
              <w:rPr>
                <w:rFonts w:hint="eastAsia" w:ascii="宋体" w:hAnsi="宋体" w:cs="宋体"/>
                <w:kern w:val="0"/>
                <w:sz w:val="24"/>
              </w:rPr>
              <w:t>委托代理人</w:t>
            </w:r>
            <w:r>
              <w:rPr>
                <w:rFonts w:hint="eastAsia" w:ascii="宋体" w:hAnsi="宋体" w:cs="Lucida Sans Unicode"/>
                <w:bCs/>
                <w:kern w:val="0"/>
                <w:sz w:val="24"/>
              </w:rPr>
              <w:t>身份证复印件</w:t>
            </w:r>
          </w:p>
        </w:tc>
      </w:tr>
    </w:tbl>
    <w:p>
      <w:pPr>
        <w:widowControl/>
        <w:wordWrap w:val="0"/>
        <w:snapToGrid w:val="0"/>
        <w:spacing w:line="460" w:lineRule="exact"/>
        <w:ind w:firstLine="480" w:firstLineChars="200"/>
        <w:jc w:val="left"/>
        <w:rPr>
          <w:rFonts w:ascii="宋体" w:hAnsi="宋体" w:cs="宋体"/>
          <w:kern w:val="0"/>
          <w:sz w:val="24"/>
        </w:rPr>
      </w:pPr>
      <w:r>
        <w:rPr>
          <w:rFonts w:hint="eastAsia" w:ascii="宋体" w:hAnsi="宋体" w:cs="宋体"/>
          <w:kern w:val="0"/>
          <w:sz w:val="24"/>
        </w:rPr>
        <w:t>委托代理人身份证号码：</w:t>
      </w:r>
    </w:p>
    <w:p>
      <w:pPr>
        <w:widowControl/>
        <w:wordWrap w:val="0"/>
        <w:spacing w:line="460" w:lineRule="exact"/>
        <w:ind w:firstLine="4800" w:firstLineChars="2000"/>
        <w:jc w:val="left"/>
        <w:rPr>
          <w:rFonts w:ascii="仿宋_GB2312" w:hAnsi="Lucida Sans Unicode" w:eastAsia="仿宋_GB2312" w:cs="Lucida Sans Unicode"/>
          <w:kern w:val="0"/>
          <w:sz w:val="24"/>
        </w:rPr>
      </w:pPr>
    </w:p>
    <w:p>
      <w:pPr>
        <w:widowControl/>
        <w:wordWrap w:val="0"/>
        <w:spacing w:line="360" w:lineRule="auto"/>
        <w:jc w:val="center"/>
        <w:rPr>
          <w:rFonts w:ascii="仿宋_GB2312" w:hAnsi="Lucida Sans Unicode" w:eastAsia="仿宋_GB2312" w:cs="Lucida Sans Unicode"/>
          <w:kern w:val="0"/>
          <w:sz w:val="24"/>
        </w:rPr>
      </w:pPr>
    </w:p>
    <w:p>
      <w:pPr>
        <w:widowControl/>
        <w:wordWrap w:val="0"/>
        <w:spacing w:line="360" w:lineRule="auto"/>
        <w:jc w:val="right"/>
        <w:rPr>
          <w:rFonts w:ascii="宋体" w:hAnsi="宋体" w:cs="宋体"/>
          <w:kern w:val="0"/>
          <w:sz w:val="24"/>
        </w:rPr>
      </w:pPr>
    </w:p>
    <w:p>
      <w:pPr>
        <w:widowControl/>
        <w:wordWrap w:val="0"/>
        <w:spacing w:line="360" w:lineRule="auto"/>
        <w:jc w:val="right"/>
        <w:rPr>
          <w:rFonts w:ascii="宋体" w:hAnsi="宋体" w:cs="宋体"/>
          <w:kern w:val="0"/>
          <w:sz w:val="24"/>
        </w:rPr>
      </w:pPr>
    </w:p>
    <w:p>
      <w:pPr>
        <w:widowControl/>
        <w:wordWrap w:val="0"/>
        <w:spacing w:line="360" w:lineRule="auto"/>
        <w:jc w:val="right"/>
        <w:rPr>
          <w:rFonts w:ascii="宋体" w:hAnsi="宋体" w:cs="宋体"/>
          <w:kern w:val="0"/>
          <w:sz w:val="24"/>
        </w:rPr>
      </w:pPr>
    </w:p>
    <w:p>
      <w:pPr>
        <w:widowControl/>
        <w:wordWrap w:val="0"/>
        <w:spacing w:line="360" w:lineRule="auto"/>
        <w:jc w:val="right"/>
        <w:rPr>
          <w:rFonts w:ascii="宋体" w:hAnsi="宋体" w:cs="宋体"/>
          <w:kern w:val="0"/>
          <w:sz w:val="24"/>
        </w:rPr>
      </w:pPr>
    </w:p>
    <w:p>
      <w:pPr>
        <w:widowControl/>
        <w:wordWrap w:val="0"/>
        <w:spacing w:line="360" w:lineRule="auto"/>
        <w:jc w:val="right"/>
        <w:rPr>
          <w:rFonts w:ascii="宋体" w:hAnsi="宋体" w:cs="宋体"/>
          <w:kern w:val="0"/>
          <w:sz w:val="24"/>
        </w:rPr>
      </w:pPr>
    </w:p>
    <w:p>
      <w:pPr>
        <w:widowControl/>
        <w:spacing w:line="360" w:lineRule="auto"/>
        <w:jc w:val="center"/>
        <w:rPr>
          <w:rFonts w:ascii="宋体" w:hAnsi="宋体" w:cs="宋体"/>
          <w:kern w:val="0"/>
          <w:sz w:val="24"/>
        </w:rPr>
      </w:pPr>
      <w:r>
        <w:rPr>
          <w:rFonts w:hint="eastAsia" w:ascii="宋体" w:hAnsi="宋体" w:cs="宋体"/>
          <w:kern w:val="0"/>
          <w:sz w:val="24"/>
        </w:rPr>
        <w:t>供应商：（全称并加盖公章）</w:t>
      </w:r>
    </w:p>
    <w:p>
      <w:pPr>
        <w:widowControl/>
        <w:wordWrap w:val="0"/>
        <w:spacing w:line="460" w:lineRule="exact"/>
        <w:ind w:firstLine="3840" w:firstLineChars="1600"/>
        <w:jc w:val="left"/>
        <w:rPr>
          <w:rFonts w:ascii="宋体" w:hAnsi="宋体" w:cs="宋体"/>
          <w:b/>
          <w:kern w:val="0"/>
          <w:sz w:val="32"/>
          <w:szCs w:val="32"/>
        </w:rPr>
      </w:pPr>
      <w:r>
        <w:rPr>
          <w:rFonts w:hint="eastAsia" w:ascii="宋体" w:hAnsi="宋体" w:cs="宋体"/>
          <w:kern w:val="0"/>
          <w:sz w:val="24"/>
        </w:rPr>
        <w:t>年    月    日</w:t>
      </w:r>
    </w:p>
    <w:p>
      <w:pPr>
        <w:widowControl/>
        <w:spacing w:line="360" w:lineRule="auto"/>
        <w:ind w:firstLine="7228" w:firstLineChars="2250"/>
        <w:jc w:val="left"/>
        <w:rPr>
          <w:rFonts w:ascii="宋体" w:hAnsi="宋体" w:cs="宋体"/>
          <w:b/>
          <w:kern w:val="0"/>
          <w:sz w:val="32"/>
          <w:szCs w:val="32"/>
        </w:rPr>
      </w:pPr>
    </w:p>
    <w:p>
      <w:pPr>
        <w:rPr>
          <w:rFonts w:ascii="宋体" w:hAnsi="宋体" w:cs="宋体"/>
          <w:b/>
          <w:kern w:val="0"/>
          <w:sz w:val="32"/>
          <w:szCs w:val="32"/>
        </w:rPr>
      </w:pPr>
      <w:r>
        <w:rPr>
          <w:rFonts w:ascii="宋体" w:hAnsi="宋体" w:cs="宋体"/>
          <w:b/>
          <w:kern w:val="0"/>
          <w:sz w:val="32"/>
          <w:szCs w:val="32"/>
        </w:rPr>
        <w:br w:type="page"/>
      </w:r>
    </w:p>
    <w:p>
      <w:pPr>
        <w:widowControl/>
        <w:snapToGrid w:val="0"/>
        <w:spacing w:before="156" w:after="156" w:line="360" w:lineRule="auto"/>
        <w:jc w:val="left"/>
        <w:rPr>
          <w:rFonts w:ascii="宋体" w:hAnsi="宋体" w:cs="宋体"/>
          <w:b/>
          <w:kern w:val="0"/>
          <w:sz w:val="24"/>
        </w:rPr>
      </w:pPr>
    </w:p>
    <w:p>
      <w:pPr>
        <w:widowControl/>
        <w:snapToGrid w:val="0"/>
        <w:spacing w:before="156" w:after="156" w:line="360" w:lineRule="auto"/>
        <w:jc w:val="left"/>
        <w:outlineLvl w:val="0"/>
        <w:rPr>
          <w:rFonts w:ascii="宋体" w:hAnsi="宋体" w:cs="宋体"/>
          <w:b/>
          <w:kern w:val="0"/>
          <w:sz w:val="24"/>
        </w:rPr>
      </w:pPr>
      <w:bookmarkStart w:id="79" w:name="_Toc18105"/>
      <w:bookmarkStart w:id="80" w:name="_Toc24693"/>
      <w:r>
        <w:rPr>
          <w:rFonts w:hint="eastAsia" w:ascii="Arial" w:hAnsi="Arial" w:eastAsia="新宋体"/>
          <w:b/>
          <w:sz w:val="28"/>
        </w:rPr>
        <w:t>附件9               证明文件</w:t>
      </w:r>
      <w:bookmarkEnd w:id="79"/>
      <w:bookmarkEnd w:id="80"/>
    </w:p>
    <w:p>
      <w:pPr>
        <w:pStyle w:val="10"/>
        <w:spacing w:beforeAutospacing="0" w:afterAutospacing="0" w:line="480" w:lineRule="auto"/>
        <w:ind w:firstLine="470" w:firstLineChars="224"/>
        <w:jc w:val="both"/>
        <w:rPr>
          <w:bCs/>
          <w:sz w:val="21"/>
          <w:szCs w:val="21"/>
        </w:rPr>
      </w:pPr>
      <w:r>
        <w:rPr>
          <w:rFonts w:hint="eastAsia"/>
          <w:bCs/>
          <w:sz w:val="21"/>
          <w:szCs w:val="21"/>
        </w:rPr>
        <w:t>9.1资格审查资料</w:t>
      </w:r>
    </w:p>
    <w:p>
      <w:pPr>
        <w:pStyle w:val="10"/>
        <w:spacing w:beforeAutospacing="0" w:afterAutospacing="0" w:line="480" w:lineRule="auto"/>
        <w:ind w:firstLine="470" w:firstLineChars="224"/>
        <w:jc w:val="both"/>
        <w:rPr>
          <w:bCs/>
          <w:sz w:val="21"/>
          <w:szCs w:val="21"/>
        </w:rPr>
      </w:pPr>
      <w:r>
        <w:rPr>
          <w:rFonts w:hint="eastAsia"/>
          <w:bCs/>
          <w:sz w:val="21"/>
          <w:szCs w:val="21"/>
        </w:rPr>
        <w:t>9.2技术方案</w:t>
      </w:r>
    </w:p>
    <w:p>
      <w:pPr>
        <w:pStyle w:val="10"/>
        <w:spacing w:beforeAutospacing="0" w:afterAutospacing="0" w:line="480" w:lineRule="auto"/>
        <w:ind w:firstLine="470" w:firstLineChars="224"/>
        <w:jc w:val="both"/>
        <w:rPr>
          <w:bCs/>
          <w:sz w:val="21"/>
          <w:szCs w:val="21"/>
        </w:rPr>
      </w:pPr>
      <w:r>
        <w:rPr>
          <w:rFonts w:hint="eastAsia"/>
          <w:bCs/>
          <w:sz w:val="21"/>
          <w:szCs w:val="21"/>
        </w:rPr>
        <w:t>9.3其他需要提供的证明材料</w:t>
      </w:r>
      <w:bookmarkStart w:id="81" w:name="_Toc17966"/>
    </w:p>
    <w:p>
      <w:pPr>
        <w:pStyle w:val="10"/>
        <w:spacing w:beforeAutospacing="0" w:afterAutospacing="0" w:line="480" w:lineRule="auto"/>
        <w:ind w:firstLine="470" w:firstLineChars="224"/>
        <w:jc w:val="both"/>
        <w:rPr>
          <w:bCs/>
          <w:sz w:val="21"/>
          <w:szCs w:val="21"/>
        </w:rPr>
      </w:pPr>
      <w:r>
        <w:rPr>
          <w:rFonts w:hint="eastAsia"/>
          <w:bCs/>
          <w:sz w:val="21"/>
          <w:szCs w:val="21"/>
        </w:rPr>
        <w:t>9.4 其他证明材料。</w:t>
      </w:r>
    </w:p>
    <w:p>
      <w:pPr>
        <w:pStyle w:val="10"/>
        <w:spacing w:beforeAutospacing="0" w:afterAutospacing="0" w:line="480" w:lineRule="auto"/>
        <w:ind w:firstLine="540" w:firstLineChars="224"/>
        <w:jc w:val="both"/>
        <w:rPr>
          <w:b/>
          <w:bCs/>
        </w:rPr>
      </w:pPr>
    </w:p>
    <w:p>
      <w:pPr>
        <w:rPr>
          <w:b/>
          <w:bCs/>
        </w:rPr>
      </w:pPr>
      <w:r>
        <w:rPr>
          <w:b/>
          <w:bCs/>
        </w:rPr>
        <w:br w:type="page"/>
      </w:r>
    </w:p>
    <w:p>
      <w:pPr>
        <w:pStyle w:val="10"/>
        <w:spacing w:beforeAutospacing="0" w:afterAutospacing="0" w:line="480" w:lineRule="auto"/>
        <w:ind w:firstLine="540" w:firstLineChars="224"/>
        <w:jc w:val="both"/>
        <w:rPr>
          <w:b/>
          <w:bCs/>
        </w:rPr>
      </w:pPr>
    </w:p>
    <w:p>
      <w:pPr>
        <w:widowControl/>
        <w:snapToGrid w:val="0"/>
        <w:spacing w:line="360" w:lineRule="auto"/>
        <w:jc w:val="center"/>
        <w:outlineLvl w:val="0"/>
        <w:rPr>
          <w:rFonts w:ascii="宋体" w:hAnsi="宋体" w:cs="宋体"/>
          <w:b/>
          <w:kern w:val="0"/>
          <w:sz w:val="28"/>
          <w:szCs w:val="28"/>
        </w:rPr>
      </w:pPr>
      <w:bookmarkStart w:id="82" w:name="_Toc12888"/>
      <w:bookmarkStart w:id="83" w:name="_Toc13726"/>
      <w:r>
        <w:rPr>
          <w:rFonts w:hint="eastAsia" w:ascii="宋体" w:hAnsi="宋体" w:cs="Lucida Sans Unicode"/>
          <w:b/>
          <w:kern w:val="0"/>
          <w:sz w:val="28"/>
          <w:szCs w:val="28"/>
        </w:rPr>
        <w:t xml:space="preserve">附件10        </w:t>
      </w:r>
      <w:bookmarkEnd w:id="81"/>
      <w:r>
        <w:rPr>
          <w:rFonts w:hint="eastAsia" w:ascii="宋体" w:hAnsi="宋体" w:cs="Lucida Sans Unicode"/>
          <w:b/>
          <w:kern w:val="0"/>
          <w:sz w:val="28"/>
          <w:szCs w:val="28"/>
        </w:rPr>
        <w:t>供 应 商 承 诺 书</w:t>
      </w:r>
      <w:r>
        <w:rPr>
          <w:rFonts w:hint="eastAsia" w:ascii="宋体" w:hAnsi="宋体" w:cs="宋体"/>
          <w:kern w:val="0"/>
          <w:sz w:val="28"/>
          <w:szCs w:val="28"/>
        </w:rPr>
        <w:t>（格式）</w:t>
      </w:r>
      <w:bookmarkEnd w:id="82"/>
      <w:bookmarkEnd w:id="83"/>
    </w:p>
    <w:p/>
    <w:p>
      <w:pPr>
        <w:snapToGrid w:val="0"/>
        <w:spacing w:line="480" w:lineRule="auto"/>
        <w:ind w:firstLine="640"/>
        <w:rPr>
          <w:rFonts w:ascii="宋体" w:hAnsi="宋体" w:cs="宋体"/>
          <w:sz w:val="24"/>
        </w:rPr>
      </w:pPr>
      <w:r>
        <w:rPr>
          <w:rFonts w:hint="eastAsia" w:ascii="宋体" w:hAnsi="宋体" w:cs="宋体"/>
          <w:sz w:val="24"/>
        </w:rPr>
        <w:t>我院（以下简称甲方）组织的本次采购，在遵守《招标投标法》、《政府采购法》、《合同法》、《反不正当竞争法》和《关于推进招投标监督领域诚信建设的意见》等法律法规的基础上，要求贵方（以下简称乙方）做出如下承诺：</w:t>
      </w:r>
    </w:p>
    <w:p>
      <w:pPr>
        <w:snapToGrid w:val="0"/>
        <w:spacing w:line="480" w:lineRule="auto"/>
        <w:ind w:firstLine="640"/>
        <w:rPr>
          <w:rFonts w:ascii="宋体" w:hAnsi="宋体" w:cs="宋体"/>
          <w:sz w:val="24"/>
        </w:rPr>
      </w:pPr>
      <w:r>
        <w:rPr>
          <w:rFonts w:hint="eastAsia" w:ascii="宋体" w:hAnsi="宋体" w:cs="宋体"/>
          <w:sz w:val="24"/>
        </w:rPr>
        <w:t>1、遵循公开、公平、公正和诚实信用的原则自愿参加，所提供的一切材料真实、有效、合法。</w:t>
      </w:r>
    </w:p>
    <w:p>
      <w:pPr>
        <w:snapToGrid w:val="0"/>
        <w:spacing w:line="480" w:lineRule="auto"/>
        <w:ind w:firstLine="640"/>
        <w:rPr>
          <w:rFonts w:ascii="宋体" w:hAnsi="宋体" w:cs="宋体"/>
          <w:sz w:val="24"/>
        </w:rPr>
      </w:pPr>
      <w:r>
        <w:rPr>
          <w:rFonts w:hint="eastAsia" w:ascii="宋体" w:hAnsi="宋体" w:cs="宋体"/>
          <w:sz w:val="24"/>
        </w:rPr>
        <w:t>2、遵守甲方采购纪律，诚实守信地为甲方提供安全可靠的产品、服务及相关技术，保证质量并主动做好售后服务工作。</w:t>
      </w:r>
    </w:p>
    <w:p>
      <w:pPr>
        <w:snapToGrid w:val="0"/>
        <w:spacing w:line="480" w:lineRule="auto"/>
        <w:ind w:firstLine="640"/>
        <w:rPr>
          <w:rFonts w:ascii="宋体" w:hAnsi="宋体" w:cs="宋体"/>
          <w:sz w:val="24"/>
        </w:rPr>
      </w:pPr>
      <w:r>
        <w:rPr>
          <w:rFonts w:hint="eastAsia" w:ascii="宋体" w:hAnsi="宋体" w:cs="宋体"/>
          <w:sz w:val="24"/>
        </w:rPr>
        <w:t>3、杜绝利用提供财物或给予其他不正当利益谋取中标的不良行为。</w:t>
      </w:r>
    </w:p>
    <w:p>
      <w:pPr>
        <w:snapToGrid w:val="0"/>
        <w:spacing w:line="480" w:lineRule="auto"/>
        <w:ind w:firstLine="640"/>
        <w:rPr>
          <w:rFonts w:ascii="宋体" w:hAnsi="宋体" w:cs="宋体"/>
          <w:sz w:val="24"/>
        </w:rPr>
      </w:pPr>
      <w:r>
        <w:rPr>
          <w:rFonts w:hint="eastAsia" w:ascii="宋体" w:hAnsi="宋体" w:cs="宋体"/>
          <w:sz w:val="24"/>
        </w:rPr>
        <w:t>4、不发生其他任何可能影响甲方工作人员公正执行公务或者职务廉洁的行为。</w:t>
      </w:r>
    </w:p>
    <w:p>
      <w:pPr>
        <w:snapToGrid w:val="0"/>
        <w:spacing w:line="480" w:lineRule="auto"/>
        <w:ind w:firstLine="640"/>
        <w:rPr>
          <w:rFonts w:ascii="宋体" w:hAnsi="宋体" w:cs="宋体"/>
          <w:sz w:val="24"/>
        </w:rPr>
      </w:pPr>
      <w:r>
        <w:rPr>
          <w:rFonts w:hint="eastAsia" w:ascii="宋体" w:hAnsi="宋体" w:cs="宋体"/>
          <w:sz w:val="24"/>
        </w:rPr>
        <w:t>5、不参与串标、围标或其他不正当竞争行为；杜绝以虚报资质、业绩或其他弄虚作假等方式骗取中标。</w:t>
      </w:r>
    </w:p>
    <w:p>
      <w:pPr>
        <w:snapToGrid w:val="0"/>
        <w:spacing w:line="480" w:lineRule="auto"/>
        <w:ind w:firstLine="640"/>
        <w:rPr>
          <w:rFonts w:ascii="宋体" w:hAnsi="宋体" w:cs="宋体"/>
          <w:sz w:val="24"/>
        </w:rPr>
      </w:pPr>
      <w:r>
        <w:rPr>
          <w:rFonts w:hint="eastAsia" w:ascii="宋体" w:hAnsi="宋体" w:cs="宋体"/>
          <w:sz w:val="24"/>
        </w:rPr>
        <w:t>6、响应时，杜绝擅自修改采购文件或技术标准（包括差异表）技术配置的行为。</w:t>
      </w:r>
    </w:p>
    <w:p>
      <w:pPr>
        <w:snapToGrid w:val="0"/>
        <w:spacing w:line="480" w:lineRule="auto"/>
        <w:ind w:firstLine="640"/>
        <w:rPr>
          <w:rFonts w:ascii="宋体" w:hAnsi="宋体" w:cs="宋体"/>
          <w:sz w:val="24"/>
        </w:rPr>
      </w:pPr>
      <w:r>
        <w:rPr>
          <w:rFonts w:hint="eastAsia" w:ascii="宋体" w:hAnsi="宋体" w:cs="宋体"/>
          <w:sz w:val="24"/>
        </w:rPr>
        <w:t>7、严格按照采购、投标文件要求签订合同，不违反法律无故拒签合同，不签订背离合同（或技术协议书）实质性内容的协议。</w:t>
      </w:r>
    </w:p>
    <w:p>
      <w:pPr>
        <w:snapToGrid w:val="0"/>
        <w:spacing w:line="480" w:lineRule="auto"/>
        <w:rPr>
          <w:rFonts w:ascii="宋体" w:hAnsi="宋体" w:cs="宋体"/>
          <w:sz w:val="24"/>
        </w:rPr>
      </w:pPr>
    </w:p>
    <w:p>
      <w:pPr>
        <w:snapToGrid w:val="0"/>
        <w:spacing w:line="480" w:lineRule="auto"/>
        <w:rPr>
          <w:rFonts w:ascii="宋体" w:hAnsi="宋体" w:cs="宋体"/>
          <w:sz w:val="24"/>
        </w:rPr>
      </w:pPr>
      <w:r>
        <w:rPr>
          <w:rFonts w:hint="eastAsia" w:ascii="宋体" w:hAnsi="宋体" w:cs="宋体"/>
          <w:sz w:val="24"/>
        </w:rPr>
        <w:t xml:space="preserve">供应商（公司名称）：               </w:t>
      </w:r>
    </w:p>
    <w:p>
      <w:pPr>
        <w:snapToGrid w:val="0"/>
        <w:spacing w:line="480" w:lineRule="auto"/>
        <w:rPr>
          <w:sz w:val="28"/>
          <w:szCs w:val="28"/>
        </w:rPr>
      </w:pPr>
      <w:r>
        <w:rPr>
          <w:rFonts w:hint="eastAsia" w:ascii="宋体" w:hAnsi="宋体" w:cs="宋体"/>
          <w:sz w:val="24"/>
        </w:rPr>
        <w:t>法定代表人或委托人（签字）：                   年   月   日</w:t>
      </w:r>
    </w:p>
    <w:p>
      <w:pPr>
        <w:widowControl/>
        <w:spacing w:line="360" w:lineRule="auto"/>
        <w:ind w:firstLine="4305" w:firstLineChars="2050"/>
        <w:jc w:val="left"/>
        <w:rPr>
          <w:rFonts w:ascii="宋体" w:hAnsi="宋体" w:cs="宋体"/>
          <w:kern w:val="0"/>
          <w:szCs w:val="21"/>
        </w:rPr>
      </w:pPr>
    </w:p>
    <w:p>
      <w:pPr>
        <w:pStyle w:val="30"/>
        <w:ind w:firstLine="210"/>
        <w:rPr>
          <w:rFonts w:ascii="宋体" w:hAnsi="宋体" w:cs="宋体"/>
          <w:kern w:val="0"/>
        </w:rPr>
      </w:pPr>
    </w:p>
    <w:p>
      <w:pPr>
        <w:pStyle w:val="31"/>
        <w:ind w:firstLine="480"/>
        <w:rPr>
          <w:szCs w:val="21"/>
        </w:rPr>
      </w:pPr>
    </w:p>
    <w:p>
      <w:pPr>
        <w:jc w:val="center"/>
        <w:rPr>
          <w:rFonts w:ascii="宋体" w:hAnsi="宋体" w:cs="宋体"/>
          <w:b/>
          <w:bCs/>
          <w:sz w:val="28"/>
          <w:szCs w:val="18"/>
        </w:rPr>
      </w:pPr>
      <w:r>
        <w:rPr>
          <w:rFonts w:hint="eastAsia" w:ascii="宋体" w:hAnsi="宋体" w:cs="宋体"/>
          <w:b/>
          <w:bCs/>
          <w:sz w:val="28"/>
          <w:szCs w:val="18"/>
        </w:rPr>
        <w:t>附件11     供应商信用承诺函（格式）</w:t>
      </w:r>
    </w:p>
    <w:p>
      <w:pPr>
        <w:spacing w:line="600" w:lineRule="exact"/>
        <w:rPr>
          <w:rFonts w:ascii="仿宋" w:hAnsi="仿宋" w:eastAsia="仿宋" w:cs="仿宋"/>
          <w:sz w:val="32"/>
          <w:szCs w:val="32"/>
        </w:rPr>
      </w:pPr>
    </w:p>
    <w:p>
      <w:pPr>
        <w:snapToGrid w:val="0"/>
        <w:spacing w:line="480" w:lineRule="auto"/>
        <w:ind w:firstLine="640"/>
        <w:rPr>
          <w:rFonts w:ascii="宋体" w:hAnsi="宋体" w:cs="宋体"/>
          <w:sz w:val="24"/>
        </w:rPr>
      </w:pPr>
      <w:r>
        <w:rPr>
          <w:rFonts w:hint="eastAsia" w:ascii="宋体" w:hAnsi="宋体" w:cs="宋体"/>
          <w:sz w:val="24"/>
        </w:rPr>
        <w:t>致（采购人或政府采购代理机构）：</w:t>
      </w:r>
    </w:p>
    <w:p>
      <w:pPr>
        <w:snapToGrid w:val="0"/>
        <w:spacing w:line="480" w:lineRule="auto"/>
        <w:ind w:firstLine="640"/>
        <w:rPr>
          <w:rFonts w:ascii="宋体" w:hAnsi="宋体" w:cs="宋体"/>
          <w:sz w:val="24"/>
        </w:rPr>
      </w:pPr>
      <w:r>
        <w:rPr>
          <w:rFonts w:hint="eastAsia" w:ascii="宋体" w:hAnsi="宋体" w:cs="宋体"/>
          <w:sz w:val="24"/>
        </w:rPr>
        <w:t>单位名称（自然人姓名）：</w:t>
      </w:r>
    </w:p>
    <w:p>
      <w:pPr>
        <w:snapToGrid w:val="0"/>
        <w:spacing w:line="480" w:lineRule="auto"/>
        <w:ind w:firstLine="640"/>
        <w:rPr>
          <w:rFonts w:ascii="宋体" w:hAnsi="宋体" w:cs="宋体"/>
          <w:sz w:val="24"/>
        </w:rPr>
      </w:pPr>
      <w:r>
        <w:rPr>
          <w:rFonts w:hint="eastAsia" w:ascii="宋体" w:hAnsi="宋体" w:cs="宋体"/>
          <w:sz w:val="24"/>
        </w:rPr>
        <w:t>统一社会信用代码（身份证号码）：</w:t>
      </w:r>
    </w:p>
    <w:p>
      <w:pPr>
        <w:snapToGrid w:val="0"/>
        <w:spacing w:line="480" w:lineRule="auto"/>
        <w:ind w:firstLine="640"/>
        <w:rPr>
          <w:rFonts w:ascii="宋体" w:hAnsi="宋体" w:cs="宋体"/>
          <w:sz w:val="24"/>
        </w:rPr>
      </w:pPr>
      <w:r>
        <w:rPr>
          <w:rFonts w:hint="eastAsia" w:ascii="宋体" w:hAnsi="宋体" w:cs="宋体"/>
          <w:sz w:val="24"/>
        </w:rPr>
        <w:t>法定代表人（负责人）：</w:t>
      </w:r>
    </w:p>
    <w:p>
      <w:pPr>
        <w:snapToGrid w:val="0"/>
        <w:spacing w:line="480" w:lineRule="auto"/>
        <w:ind w:firstLine="640"/>
        <w:rPr>
          <w:rFonts w:ascii="宋体" w:hAnsi="宋体" w:cs="宋体"/>
          <w:sz w:val="24"/>
        </w:rPr>
      </w:pPr>
      <w:r>
        <w:rPr>
          <w:rFonts w:hint="eastAsia" w:ascii="宋体" w:hAnsi="宋体" w:cs="宋体"/>
          <w:sz w:val="24"/>
        </w:rPr>
        <w:t>联系地址和电话：</w:t>
      </w:r>
    </w:p>
    <w:p>
      <w:pPr>
        <w:snapToGrid w:val="0"/>
        <w:spacing w:line="480" w:lineRule="auto"/>
        <w:ind w:firstLine="640"/>
        <w:rPr>
          <w:rFonts w:ascii="宋体" w:hAnsi="宋体" w:cs="宋体"/>
          <w:sz w:val="24"/>
        </w:rPr>
      </w:pPr>
      <w:r>
        <w:rPr>
          <w:rFonts w:hint="eastAsia" w:ascii="宋体" w:hAnsi="宋体" w:cs="宋体"/>
          <w:sz w:val="24"/>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snapToGrid w:val="0"/>
        <w:spacing w:line="480" w:lineRule="auto"/>
        <w:ind w:firstLine="640"/>
        <w:rPr>
          <w:rFonts w:ascii="宋体" w:hAnsi="宋体" w:cs="宋体"/>
          <w:sz w:val="24"/>
        </w:rPr>
      </w:pPr>
      <w:r>
        <w:rPr>
          <w:rFonts w:hint="eastAsia" w:ascii="宋体" w:hAnsi="宋体" w:cs="宋体"/>
          <w:sz w:val="24"/>
        </w:rPr>
        <w:t>（一）具有独立承担民事责任的能力；</w:t>
      </w:r>
    </w:p>
    <w:p>
      <w:pPr>
        <w:snapToGrid w:val="0"/>
        <w:spacing w:line="480" w:lineRule="auto"/>
        <w:ind w:firstLine="640"/>
        <w:rPr>
          <w:rFonts w:ascii="宋体" w:hAnsi="宋体" w:cs="宋体"/>
          <w:sz w:val="24"/>
        </w:rPr>
      </w:pPr>
      <w:r>
        <w:rPr>
          <w:rFonts w:hint="eastAsia" w:ascii="宋体" w:hAnsi="宋体" w:cs="宋体"/>
          <w:sz w:val="24"/>
        </w:rPr>
        <w:t>（二）具有良好的商业信誉和健全的财务会计制度；</w:t>
      </w:r>
    </w:p>
    <w:p>
      <w:pPr>
        <w:snapToGrid w:val="0"/>
        <w:spacing w:line="480" w:lineRule="auto"/>
        <w:ind w:firstLine="640"/>
        <w:rPr>
          <w:rFonts w:ascii="宋体" w:hAnsi="宋体" w:cs="宋体"/>
          <w:sz w:val="24"/>
        </w:rPr>
      </w:pPr>
      <w:r>
        <w:rPr>
          <w:rFonts w:hint="eastAsia" w:ascii="宋体" w:hAnsi="宋体" w:cs="宋体"/>
          <w:sz w:val="24"/>
        </w:rPr>
        <w:t>（三）具有履行合同所必需的设备和专业技术能力；</w:t>
      </w:r>
    </w:p>
    <w:p>
      <w:pPr>
        <w:snapToGrid w:val="0"/>
        <w:spacing w:line="480" w:lineRule="auto"/>
        <w:ind w:firstLine="640"/>
        <w:rPr>
          <w:rFonts w:ascii="仿宋" w:hAnsi="仿宋" w:eastAsia="仿宋" w:cs="仿宋"/>
          <w:sz w:val="32"/>
          <w:szCs w:val="32"/>
        </w:rPr>
      </w:pPr>
      <w:r>
        <w:rPr>
          <w:rFonts w:hint="eastAsia" w:ascii="宋体" w:hAnsi="宋体" w:cs="宋体"/>
          <w:sz w:val="24"/>
        </w:rPr>
        <w:t>（四）有依法缴纳税收和社会保障资金的良好</w:t>
      </w:r>
      <w:r>
        <w:rPr>
          <w:rFonts w:hint="eastAsia" w:ascii="仿宋" w:hAnsi="仿宋" w:eastAsia="仿宋" w:cs="仿宋"/>
          <w:sz w:val="32"/>
          <w:szCs w:val="32"/>
        </w:rPr>
        <w:t>记录；</w:t>
      </w:r>
    </w:p>
    <w:p>
      <w:pPr>
        <w:snapToGrid w:val="0"/>
        <w:spacing w:line="480" w:lineRule="auto"/>
        <w:ind w:firstLine="640"/>
        <w:rPr>
          <w:rFonts w:ascii="宋体" w:hAnsi="宋体" w:cs="宋体"/>
          <w:sz w:val="24"/>
        </w:rPr>
      </w:pPr>
      <w:r>
        <w:rPr>
          <w:rFonts w:hint="eastAsia" w:ascii="宋体" w:hAnsi="宋体" w:cs="宋体"/>
          <w:sz w:val="24"/>
        </w:rPr>
        <w:t>（五）参加政府采购活动前三年内，在经营活动中没有重大违法记录；</w:t>
      </w:r>
    </w:p>
    <w:p>
      <w:pPr>
        <w:snapToGrid w:val="0"/>
        <w:spacing w:line="480" w:lineRule="auto"/>
        <w:ind w:firstLine="640"/>
        <w:rPr>
          <w:rFonts w:ascii="宋体" w:hAnsi="宋体" w:cs="宋体"/>
          <w:sz w:val="24"/>
        </w:rPr>
      </w:pPr>
      <w:r>
        <w:rPr>
          <w:rFonts w:hint="eastAsia" w:ascii="宋体" w:hAnsi="宋体" w:cs="宋体"/>
          <w:sz w:val="24"/>
        </w:rPr>
        <w:t>（六）未被列入严重失信主体名单、失信被执行人、税收违法黑名单、政府采购严重违法失信行为记录名单，未曾作出虚假承诺；</w:t>
      </w:r>
    </w:p>
    <w:p>
      <w:pPr>
        <w:snapToGrid w:val="0"/>
        <w:spacing w:line="480" w:lineRule="auto"/>
        <w:ind w:firstLine="640"/>
        <w:rPr>
          <w:rFonts w:ascii="宋体" w:hAnsi="宋体" w:cs="宋体"/>
          <w:sz w:val="24"/>
        </w:rPr>
      </w:pPr>
      <w:r>
        <w:rPr>
          <w:rFonts w:hint="eastAsia" w:ascii="宋体" w:hAnsi="宋体" w:cs="宋体"/>
          <w:sz w:val="24"/>
        </w:rPr>
        <w:t>（七）符合法律、行政法规规定的其他条件。</w:t>
      </w:r>
    </w:p>
    <w:p>
      <w:pPr>
        <w:snapToGrid w:val="0"/>
        <w:spacing w:line="480" w:lineRule="auto"/>
        <w:ind w:firstLine="640"/>
        <w:rPr>
          <w:rFonts w:ascii="宋体" w:hAnsi="宋体" w:cs="宋体"/>
          <w:sz w:val="24"/>
        </w:rPr>
      </w:pPr>
      <w:r>
        <w:rPr>
          <w:rFonts w:hint="eastAsia" w:ascii="宋体" w:hAnsi="宋体" w:cs="宋体"/>
          <w:sz w:val="24"/>
        </w:rPr>
        <w:t>我单位（本人）保证上述承诺事项的真实性，如有弄虚作假或其他违法违规行为，愿意承担一切法律责任，并承担因此所造成的一切损失。</w:t>
      </w:r>
    </w:p>
    <w:p>
      <w:pPr>
        <w:snapToGrid w:val="0"/>
        <w:spacing w:line="480" w:lineRule="auto"/>
        <w:ind w:firstLine="640"/>
        <w:rPr>
          <w:rFonts w:ascii="宋体" w:hAnsi="宋体" w:cs="宋体"/>
          <w:sz w:val="24"/>
        </w:rPr>
      </w:pPr>
    </w:p>
    <w:p>
      <w:pPr>
        <w:snapToGrid w:val="0"/>
        <w:spacing w:line="480" w:lineRule="auto"/>
        <w:ind w:firstLine="640"/>
        <w:rPr>
          <w:rFonts w:ascii="宋体" w:hAnsi="宋体" w:cs="宋体"/>
          <w:sz w:val="24"/>
        </w:rPr>
      </w:pPr>
      <w:r>
        <w:rPr>
          <w:rFonts w:hint="eastAsia" w:ascii="宋体" w:hAnsi="宋体" w:cs="宋体"/>
          <w:sz w:val="24"/>
        </w:rPr>
        <w:t>供应商名称（盖章）：</w:t>
      </w:r>
    </w:p>
    <w:p>
      <w:pPr>
        <w:snapToGrid w:val="0"/>
        <w:spacing w:line="480" w:lineRule="auto"/>
        <w:ind w:firstLine="640"/>
        <w:rPr>
          <w:rFonts w:ascii="宋体" w:hAnsi="宋体" w:cs="宋体"/>
          <w:sz w:val="24"/>
        </w:rPr>
      </w:pPr>
      <w:r>
        <w:rPr>
          <w:rFonts w:hint="eastAsia" w:ascii="宋体" w:hAnsi="宋体" w:cs="宋体"/>
          <w:sz w:val="24"/>
        </w:rPr>
        <w:t>法定代表人、负责人、自然人或授权代表(签字)：</w:t>
      </w:r>
    </w:p>
    <w:p>
      <w:pPr>
        <w:snapToGrid w:val="0"/>
        <w:spacing w:line="480" w:lineRule="auto"/>
        <w:ind w:firstLine="640"/>
        <w:rPr>
          <w:rFonts w:ascii="宋体" w:hAnsi="宋体" w:cs="宋体"/>
          <w:sz w:val="24"/>
        </w:rPr>
      </w:pPr>
      <w:r>
        <w:rPr>
          <w:rFonts w:hint="eastAsia" w:ascii="宋体" w:hAnsi="宋体" w:cs="宋体"/>
          <w:sz w:val="24"/>
        </w:rPr>
        <w:t>日期：       年         月          日</w:t>
      </w:r>
    </w:p>
    <w:p>
      <w:pPr>
        <w:snapToGrid w:val="0"/>
        <w:spacing w:line="480" w:lineRule="auto"/>
        <w:ind w:firstLine="640"/>
        <w:rPr>
          <w:rFonts w:ascii="宋体" w:hAnsi="宋体" w:cs="宋体"/>
          <w:sz w:val="24"/>
        </w:rPr>
      </w:pPr>
    </w:p>
    <w:p>
      <w:pPr>
        <w:snapToGrid w:val="0"/>
        <w:spacing w:line="480" w:lineRule="auto"/>
        <w:ind w:firstLine="640"/>
        <w:rPr>
          <w:rFonts w:ascii="宋体" w:hAnsi="宋体" w:cs="宋体"/>
          <w:sz w:val="24"/>
        </w:rPr>
      </w:pPr>
    </w:p>
    <w:p>
      <w:pPr>
        <w:snapToGrid w:val="0"/>
        <w:spacing w:line="480" w:lineRule="auto"/>
        <w:ind w:firstLine="640"/>
        <w:rPr>
          <w:rFonts w:ascii="宋体" w:hAnsi="宋体" w:cs="宋体"/>
          <w:sz w:val="24"/>
        </w:rPr>
      </w:pPr>
      <w:r>
        <w:rPr>
          <w:rFonts w:hint="eastAsia" w:ascii="宋体" w:hAnsi="宋体" w:cs="宋体"/>
          <w:sz w:val="24"/>
        </w:rPr>
        <w:t>注：1.供应商须在投标（响应性）文件中按此模板提供承诺函，未提供视为未实质性响应招标文件要求，按无效投标（响应）处理。</w:t>
      </w:r>
    </w:p>
    <w:p>
      <w:pPr>
        <w:snapToGrid w:val="0"/>
        <w:spacing w:line="480" w:lineRule="auto"/>
        <w:ind w:firstLine="640"/>
        <w:rPr>
          <w:rFonts w:ascii="宋体" w:hAnsi="宋体" w:cs="宋体"/>
          <w:sz w:val="24"/>
        </w:rPr>
      </w:pPr>
      <w:r>
        <w:rPr>
          <w:rFonts w:hint="eastAsia" w:ascii="宋体" w:hAnsi="宋体" w:cs="宋体"/>
          <w:sz w:val="24"/>
        </w:rPr>
        <w:t>2.供应商的法定代表人或者授权代表的签字或盖章应真实、有效，如由授权代表签字或盖章的，应提供“法定代表人授权书”。</w:t>
      </w:r>
    </w:p>
    <w:p>
      <w:pPr>
        <w:spacing w:line="600" w:lineRule="exact"/>
        <w:rPr>
          <w:rFonts w:ascii="仿宋" w:hAnsi="仿宋" w:eastAsia="仿宋" w:cs="仿宋"/>
          <w:sz w:val="32"/>
          <w:szCs w:val="32"/>
        </w:rPr>
      </w:pPr>
    </w:p>
    <w:p/>
    <w:p>
      <w:pPr>
        <w:spacing w:line="360" w:lineRule="auto"/>
      </w:pPr>
    </w:p>
    <w:p>
      <w:r>
        <w:br w:type="page"/>
      </w:r>
    </w:p>
    <w:p>
      <w:pPr>
        <w:pStyle w:val="49"/>
        <w:ind w:firstLine="420"/>
      </w:pPr>
    </w:p>
    <w:p>
      <w:pPr>
        <w:widowControl/>
        <w:snapToGrid w:val="0"/>
        <w:spacing w:line="360" w:lineRule="auto"/>
        <w:jc w:val="center"/>
        <w:outlineLvl w:val="0"/>
        <w:rPr>
          <w:rFonts w:ascii="宋体" w:hAnsi="宋体" w:cs="Lucida Sans Unicode"/>
          <w:b/>
          <w:kern w:val="0"/>
          <w:sz w:val="24"/>
        </w:rPr>
      </w:pPr>
      <w:bookmarkStart w:id="84" w:name="_Toc25094"/>
      <w:bookmarkStart w:id="85" w:name="_Toc23394"/>
      <w:r>
        <w:rPr>
          <w:rFonts w:hint="eastAsia" w:ascii="宋体" w:hAnsi="宋体" w:cs="Lucida Sans Unicode"/>
          <w:b/>
          <w:kern w:val="0"/>
          <w:sz w:val="24"/>
        </w:rPr>
        <w:t>供应商认为有必要的其他资料</w:t>
      </w:r>
      <w:bookmarkEnd w:id="84"/>
      <w:bookmarkEnd w:id="85"/>
    </w:p>
    <w:p>
      <w:pPr>
        <w:widowControl/>
        <w:spacing w:line="360" w:lineRule="auto"/>
        <w:ind w:firstLine="420" w:firstLineChars="200"/>
        <w:jc w:val="left"/>
        <w:rPr>
          <w:rFonts w:ascii="宋体" w:hAnsi="宋体" w:cs="Lucida Sans Unicode"/>
          <w:kern w:val="0"/>
          <w:sz w:val="24"/>
        </w:rPr>
      </w:pPr>
      <w:r>
        <w:rPr>
          <w:rFonts w:hint="eastAsia" w:ascii="宋体" w:hAnsi="宋体" w:cs="Lucida Sans Unicode"/>
          <w:kern w:val="0"/>
          <w:szCs w:val="21"/>
        </w:rPr>
        <w:t>备注：供应商应当仔细核对采购文件中有关废标条款和评标标准，提供供应商认为应当附加的其它内容，以充分证明其投标符合采购文件规定，并为评标提供充分依据。如果供应商未能提供相关证明文件，将有可能导致废标或者无法得分。</w:t>
      </w:r>
    </w:p>
    <w:p>
      <w:pPr>
        <w:pStyle w:val="10"/>
        <w:spacing w:beforeAutospacing="0" w:afterAutospacing="0" w:line="460" w:lineRule="atLeast"/>
        <w:jc w:val="center"/>
        <w:rPr>
          <w:b/>
          <w:bCs/>
          <w:sz w:val="28"/>
          <w:szCs w:val="28"/>
        </w:rPr>
      </w:pPr>
    </w:p>
    <w:p>
      <w:pPr>
        <w:pStyle w:val="10"/>
        <w:spacing w:beforeAutospacing="0" w:afterAutospacing="0" w:line="460" w:lineRule="atLeast"/>
        <w:jc w:val="center"/>
        <w:rPr>
          <w:b/>
          <w:bCs/>
          <w:sz w:val="28"/>
          <w:szCs w:val="28"/>
        </w:rPr>
      </w:pPr>
    </w:p>
    <w:p>
      <w:pPr>
        <w:pStyle w:val="10"/>
        <w:spacing w:beforeAutospacing="0" w:afterAutospacing="0" w:line="460" w:lineRule="atLeast"/>
        <w:jc w:val="center"/>
        <w:rPr>
          <w:b/>
          <w:bCs/>
          <w:sz w:val="28"/>
          <w:szCs w:val="28"/>
        </w:rPr>
      </w:pPr>
    </w:p>
    <w:p>
      <w:pPr>
        <w:pStyle w:val="10"/>
        <w:spacing w:beforeAutospacing="0" w:afterAutospacing="0" w:line="460" w:lineRule="atLeast"/>
        <w:jc w:val="center"/>
        <w:rPr>
          <w:b/>
          <w:bCs/>
          <w:sz w:val="28"/>
          <w:szCs w:val="28"/>
        </w:rPr>
      </w:pPr>
    </w:p>
    <w:p>
      <w:pPr>
        <w:pStyle w:val="10"/>
        <w:spacing w:beforeAutospacing="0" w:afterAutospacing="0" w:line="460" w:lineRule="atLeast"/>
        <w:jc w:val="center"/>
        <w:rPr>
          <w:b/>
          <w:bCs/>
          <w:sz w:val="28"/>
          <w:szCs w:val="28"/>
        </w:rPr>
      </w:pPr>
    </w:p>
    <w:p>
      <w:pPr>
        <w:pStyle w:val="10"/>
        <w:spacing w:beforeAutospacing="0" w:afterAutospacing="0" w:line="460" w:lineRule="atLeast"/>
        <w:jc w:val="center"/>
        <w:rPr>
          <w:b/>
          <w:bCs/>
          <w:sz w:val="28"/>
          <w:szCs w:val="28"/>
        </w:rPr>
      </w:pPr>
    </w:p>
    <w:p>
      <w:pPr>
        <w:pStyle w:val="10"/>
        <w:spacing w:beforeAutospacing="0" w:afterAutospacing="0" w:line="460" w:lineRule="atLeast"/>
        <w:jc w:val="center"/>
        <w:rPr>
          <w:b/>
          <w:bCs/>
          <w:sz w:val="28"/>
          <w:szCs w:val="28"/>
        </w:rPr>
      </w:pPr>
    </w:p>
    <w:p>
      <w:pPr>
        <w:pStyle w:val="10"/>
        <w:spacing w:beforeAutospacing="0" w:afterAutospacing="0" w:line="460" w:lineRule="atLeast"/>
        <w:jc w:val="center"/>
        <w:rPr>
          <w:b/>
          <w:bCs/>
          <w:sz w:val="28"/>
          <w:szCs w:val="28"/>
        </w:rPr>
      </w:pPr>
    </w:p>
    <w:p>
      <w:pPr>
        <w:pStyle w:val="10"/>
        <w:spacing w:beforeAutospacing="0" w:afterAutospacing="0" w:line="460" w:lineRule="atLeast"/>
        <w:jc w:val="center"/>
        <w:rPr>
          <w:b/>
          <w:bCs/>
          <w:sz w:val="28"/>
          <w:szCs w:val="28"/>
        </w:rPr>
      </w:pPr>
    </w:p>
    <w:p>
      <w:pPr>
        <w:pStyle w:val="10"/>
        <w:spacing w:beforeAutospacing="0" w:afterAutospacing="0" w:line="460" w:lineRule="atLeast"/>
        <w:jc w:val="center"/>
        <w:rPr>
          <w:b/>
          <w:bCs/>
          <w:sz w:val="28"/>
          <w:szCs w:val="28"/>
        </w:rPr>
      </w:pPr>
    </w:p>
    <w:p>
      <w:pPr>
        <w:pStyle w:val="10"/>
        <w:spacing w:beforeAutospacing="0" w:afterAutospacing="0" w:line="460" w:lineRule="atLeast"/>
        <w:jc w:val="center"/>
        <w:rPr>
          <w:b/>
          <w:bCs/>
          <w:sz w:val="28"/>
          <w:szCs w:val="28"/>
        </w:rPr>
      </w:pPr>
    </w:p>
    <w:p>
      <w:pPr>
        <w:pStyle w:val="10"/>
        <w:spacing w:beforeAutospacing="0" w:afterAutospacing="0" w:line="460" w:lineRule="atLeast"/>
        <w:jc w:val="center"/>
        <w:rPr>
          <w:b/>
          <w:bCs/>
          <w:sz w:val="28"/>
          <w:szCs w:val="28"/>
        </w:rPr>
      </w:pPr>
    </w:p>
    <w:p>
      <w:pPr>
        <w:pStyle w:val="10"/>
        <w:spacing w:beforeAutospacing="0" w:afterAutospacing="0" w:line="460" w:lineRule="atLeast"/>
        <w:jc w:val="center"/>
        <w:rPr>
          <w:b/>
          <w:bCs/>
          <w:sz w:val="28"/>
          <w:szCs w:val="28"/>
        </w:rPr>
      </w:pPr>
    </w:p>
    <w:p>
      <w:pPr>
        <w:pStyle w:val="10"/>
        <w:spacing w:beforeAutospacing="0" w:afterAutospacing="0" w:line="460" w:lineRule="atLeast"/>
        <w:jc w:val="center"/>
        <w:rPr>
          <w:b/>
          <w:bCs/>
          <w:sz w:val="28"/>
          <w:szCs w:val="28"/>
        </w:rPr>
      </w:pPr>
    </w:p>
    <w:p>
      <w:pPr>
        <w:pStyle w:val="10"/>
        <w:spacing w:beforeAutospacing="0" w:afterAutospacing="0" w:line="460" w:lineRule="atLeast"/>
        <w:jc w:val="center"/>
        <w:rPr>
          <w:b/>
          <w:bCs/>
          <w:sz w:val="28"/>
          <w:szCs w:val="28"/>
        </w:rPr>
      </w:pPr>
    </w:p>
    <w:p>
      <w:pPr>
        <w:pStyle w:val="10"/>
        <w:spacing w:beforeAutospacing="0" w:afterAutospacing="0" w:line="460" w:lineRule="atLeast"/>
        <w:jc w:val="center"/>
        <w:rPr>
          <w:b/>
          <w:bCs/>
          <w:sz w:val="28"/>
          <w:szCs w:val="28"/>
        </w:rPr>
      </w:pPr>
    </w:p>
    <w:p>
      <w:pPr>
        <w:pStyle w:val="10"/>
        <w:spacing w:beforeAutospacing="0" w:afterAutospacing="0" w:line="460" w:lineRule="atLeast"/>
        <w:jc w:val="both"/>
        <w:rPr>
          <w:b/>
          <w:bCs/>
          <w:sz w:val="28"/>
          <w:szCs w:val="28"/>
        </w:rPr>
      </w:pPr>
    </w:p>
    <w:sectPr>
      <w:headerReference r:id="rId5" w:type="default"/>
      <w:footerReference r:id="rId6" w:type="default"/>
      <w:pgSz w:w="11906" w:h="16838"/>
      <w:pgMar w:top="1417" w:right="1474" w:bottom="1417" w:left="1474" w:header="851" w:footer="624"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Lucida Sans Unicode">
    <w:panose1 w:val="020B0602030504020204"/>
    <w:charset w:val="00"/>
    <w:family w:val="swiss"/>
    <w:pitch w:val="default"/>
    <w:sig w:usb0="80001AFF" w:usb1="0000396B" w:usb2="00000000" w:usb3="00000000" w:csb0="200000BF" w:csb1="D7F70000"/>
  </w:font>
  <w:font w:name="新宋体">
    <w:panose1 w:val="02010609030101010101"/>
    <w:charset w:val="86"/>
    <w:family w:val="modern"/>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auto" w:sz="4" w:space="1"/>
      </w:pBdr>
      <w:jc w:val="both"/>
    </w:pPr>
    <w:r>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path/>
          <v:fill on="f" focussize="0,0"/>
          <v:stroke on="f" weight="0.5pt" joinstyle="miter"/>
          <v:imagedata o:title=""/>
          <o:lock v:ext="edit"/>
          <v:textbox inset="0mm,0mm,0mm,0mm" style="mso-fit-shape-to-text:t;">
            <w:txbxContent>
              <w:p>
                <w:pPr>
                  <w:pStyle w:val="22"/>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top w:val="single" w:color="auto" w:sz="4" w:space="1"/>
      </w:pBdr>
      <w:jc w:val="both"/>
    </w:pPr>
    <w:r>
      <w:pict>
        <v:shape id="文本框 1026" o:spid="_x0000_s3073"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path/>
          <v:fill on="f" focussize="0,0"/>
          <v:stroke on="f" joinstyle="miter"/>
          <v:imagedata o:title=""/>
          <o:lock v:ext="edit"/>
          <v:textbox inset="0mm,0mm,0mm,0mm">
            <w:txbxContent>
              <w:p>
                <w:pPr>
                  <w:pStyle w:val="22"/>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3</w:t>
                </w:r>
                <w:r>
                  <w:rPr>
                    <w:rFonts w:hint="eastAsia" w:ascii="宋体" w:hAnsi="宋体" w:cs="宋体"/>
                  </w:rPr>
                  <w:fldChar w:fldCharType="end"/>
                </w:r>
              </w:p>
            </w:txbxContent>
          </v:textbox>
        </v:shape>
      </w:pict>
    </w:r>
  </w:p>
  <w:p>
    <w:pPr>
      <w:pStyle w:val="2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hint="eastAsia" w:ascii="宋体" w:hAnsi="宋体" w:cs="宋体"/>
        <w:szCs w:val="21"/>
        <w:shd w:val="clear" w:color="auto" w:fill="FFFFFF"/>
        <w:lang w:eastAsia="zh-CN"/>
      </w:rPr>
      <w:t>驻马店市中心医院西门子3.0T磁共振技术保项目（二次）</w:t>
    </w:r>
    <w:r>
      <w:rPr>
        <w:rFonts w:hint="eastAsia" w:ascii="宋体" w:hAnsi="宋体" w:cs="宋体"/>
        <w:szCs w:val="21"/>
        <w:shd w:val="clear" w:color="auto" w:fill="FFFFFF"/>
      </w:rPr>
      <w:t>采购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rPr>
        <w:rFonts w:hint="eastAsia" w:ascii="宋体" w:hAnsi="宋体" w:cs="宋体"/>
        <w:szCs w:val="21"/>
        <w:shd w:val="clear" w:color="auto" w:fill="FFFFFF"/>
        <w:lang w:eastAsia="zh-CN"/>
      </w:rPr>
      <w:t>驻马店市中心医院西门子3.0T磁共振技术保项目（二次）</w:t>
    </w:r>
    <w:r>
      <w:rPr>
        <w:rFonts w:hint="eastAsia" w:ascii="宋体" w:hAnsi="宋体" w:cs="宋体"/>
        <w:szCs w:val="21"/>
        <w:shd w:val="clear" w:color="auto" w:fill="FFFFFF"/>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abstractNum w:abstractNumId="3">
    <w:nsid w:val="77465FE5"/>
    <w:multiLevelType w:val="singleLevel"/>
    <w:tmpl w:val="77465FE5"/>
    <w:lvl w:ilvl="0" w:tentative="0">
      <w:start w:val="2"/>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TrackMoves/>
  <w:documentProtection w:enforcement="0"/>
  <w:defaultTabStop w:val="420"/>
  <w:drawingGridHorizontalSpacing w:val="105"/>
  <w:drawingGridVerticalSpacing w:val="319"/>
  <w:noPunctuationKerning w:val="1"/>
  <w:characterSpacingControl w:val="compressPunctuation"/>
  <w:doNotValidateAgainstSchema/>
  <w:doNotDemarcateInvalidXml/>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47E46"/>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3540"/>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652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50EB"/>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4958"/>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A63A5"/>
    <w:rsid w:val="02011C7D"/>
    <w:rsid w:val="02035523"/>
    <w:rsid w:val="021C6E40"/>
    <w:rsid w:val="02222FF2"/>
    <w:rsid w:val="02384FF4"/>
    <w:rsid w:val="023F67A9"/>
    <w:rsid w:val="0247575A"/>
    <w:rsid w:val="025235B1"/>
    <w:rsid w:val="0262674D"/>
    <w:rsid w:val="02747B01"/>
    <w:rsid w:val="02890D36"/>
    <w:rsid w:val="02D92EF7"/>
    <w:rsid w:val="02DA4665"/>
    <w:rsid w:val="02F40325"/>
    <w:rsid w:val="02FA082F"/>
    <w:rsid w:val="031126C4"/>
    <w:rsid w:val="03475E56"/>
    <w:rsid w:val="035E4919"/>
    <w:rsid w:val="036A009A"/>
    <w:rsid w:val="03844805"/>
    <w:rsid w:val="03845791"/>
    <w:rsid w:val="03A011E9"/>
    <w:rsid w:val="03AE7F27"/>
    <w:rsid w:val="03BD2BCD"/>
    <w:rsid w:val="03CC058D"/>
    <w:rsid w:val="03E017D2"/>
    <w:rsid w:val="03F447E2"/>
    <w:rsid w:val="03F77068"/>
    <w:rsid w:val="03FB660C"/>
    <w:rsid w:val="04416C20"/>
    <w:rsid w:val="047968B1"/>
    <w:rsid w:val="04870542"/>
    <w:rsid w:val="04B30F7A"/>
    <w:rsid w:val="054C0111"/>
    <w:rsid w:val="05545DD3"/>
    <w:rsid w:val="056E2AD6"/>
    <w:rsid w:val="05806815"/>
    <w:rsid w:val="058251D3"/>
    <w:rsid w:val="058C28F1"/>
    <w:rsid w:val="05945CCE"/>
    <w:rsid w:val="059D05A4"/>
    <w:rsid w:val="059D5E17"/>
    <w:rsid w:val="05AB0A28"/>
    <w:rsid w:val="05AB0F81"/>
    <w:rsid w:val="05B93D6B"/>
    <w:rsid w:val="05D53002"/>
    <w:rsid w:val="05D75738"/>
    <w:rsid w:val="05F17CC7"/>
    <w:rsid w:val="061E7D14"/>
    <w:rsid w:val="06446B44"/>
    <w:rsid w:val="06560AED"/>
    <w:rsid w:val="066469C9"/>
    <w:rsid w:val="066646A1"/>
    <w:rsid w:val="06983B20"/>
    <w:rsid w:val="069A3B66"/>
    <w:rsid w:val="06A9264E"/>
    <w:rsid w:val="06B31420"/>
    <w:rsid w:val="06B91765"/>
    <w:rsid w:val="06CA2AD2"/>
    <w:rsid w:val="06CE3071"/>
    <w:rsid w:val="06D33DBA"/>
    <w:rsid w:val="06E13F9F"/>
    <w:rsid w:val="06FB0AC5"/>
    <w:rsid w:val="070D2D5D"/>
    <w:rsid w:val="07111B8D"/>
    <w:rsid w:val="072C5514"/>
    <w:rsid w:val="074A5B92"/>
    <w:rsid w:val="075D0147"/>
    <w:rsid w:val="075E3193"/>
    <w:rsid w:val="078E18EB"/>
    <w:rsid w:val="07B10EA5"/>
    <w:rsid w:val="07CE3FA1"/>
    <w:rsid w:val="07EC2ECB"/>
    <w:rsid w:val="07FE66CB"/>
    <w:rsid w:val="080B4D47"/>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9C263F"/>
    <w:rsid w:val="09A53F39"/>
    <w:rsid w:val="09A60E13"/>
    <w:rsid w:val="09A82D92"/>
    <w:rsid w:val="09AB2883"/>
    <w:rsid w:val="09D206F0"/>
    <w:rsid w:val="0A321AC2"/>
    <w:rsid w:val="0A343D4E"/>
    <w:rsid w:val="0A3E6D2E"/>
    <w:rsid w:val="0A4232E4"/>
    <w:rsid w:val="0A8455AD"/>
    <w:rsid w:val="0AD13A85"/>
    <w:rsid w:val="0AE0655C"/>
    <w:rsid w:val="0B091954"/>
    <w:rsid w:val="0B3B7D65"/>
    <w:rsid w:val="0B637D77"/>
    <w:rsid w:val="0B7006C4"/>
    <w:rsid w:val="0B726646"/>
    <w:rsid w:val="0BAC324F"/>
    <w:rsid w:val="0BC11EE9"/>
    <w:rsid w:val="0BD91FD6"/>
    <w:rsid w:val="0BF16C73"/>
    <w:rsid w:val="0BF72F1E"/>
    <w:rsid w:val="0C186C21"/>
    <w:rsid w:val="0C3152C1"/>
    <w:rsid w:val="0C3957A5"/>
    <w:rsid w:val="0C507E2F"/>
    <w:rsid w:val="0C626DA7"/>
    <w:rsid w:val="0C6876AE"/>
    <w:rsid w:val="0C71390F"/>
    <w:rsid w:val="0C720EC8"/>
    <w:rsid w:val="0C942042"/>
    <w:rsid w:val="0C9D50DC"/>
    <w:rsid w:val="0CA5271D"/>
    <w:rsid w:val="0CAC4D10"/>
    <w:rsid w:val="0CC72121"/>
    <w:rsid w:val="0CEE5A21"/>
    <w:rsid w:val="0D05268E"/>
    <w:rsid w:val="0D0646E7"/>
    <w:rsid w:val="0D0C38CA"/>
    <w:rsid w:val="0D206810"/>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CA42ED"/>
    <w:rsid w:val="0FE7592C"/>
    <w:rsid w:val="0FFD20F0"/>
    <w:rsid w:val="103E6E57"/>
    <w:rsid w:val="1041497B"/>
    <w:rsid w:val="10425FF6"/>
    <w:rsid w:val="106612B1"/>
    <w:rsid w:val="107016C7"/>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C63E50"/>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493108"/>
    <w:rsid w:val="134A4EBA"/>
    <w:rsid w:val="13733928"/>
    <w:rsid w:val="13857CA0"/>
    <w:rsid w:val="13920D68"/>
    <w:rsid w:val="139C16C9"/>
    <w:rsid w:val="13B63CE1"/>
    <w:rsid w:val="13BC6684"/>
    <w:rsid w:val="13C72B3A"/>
    <w:rsid w:val="13DF575E"/>
    <w:rsid w:val="13E470BD"/>
    <w:rsid w:val="13EE3A98"/>
    <w:rsid w:val="142123F7"/>
    <w:rsid w:val="142A11D8"/>
    <w:rsid w:val="144B544C"/>
    <w:rsid w:val="145B7B45"/>
    <w:rsid w:val="14717443"/>
    <w:rsid w:val="148D52E3"/>
    <w:rsid w:val="14992B90"/>
    <w:rsid w:val="14AF1856"/>
    <w:rsid w:val="14AF19A3"/>
    <w:rsid w:val="14B53957"/>
    <w:rsid w:val="14C53ECE"/>
    <w:rsid w:val="14CF6CB0"/>
    <w:rsid w:val="14DC5FE6"/>
    <w:rsid w:val="14E002E6"/>
    <w:rsid w:val="14FC36BD"/>
    <w:rsid w:val="14FF5EA7"/>
    <w:rsid w:val="151E3A0F"/>
    <w:rsid w:val="152534E9"/>
    <w:rsid w:val="153A36AA"/>
    <w:rsid w:val="15477903"/>
    <w:rsid w:val="1557566D"/>
    <w:rsid w:val="15811F1B"/>
    <w:rsid w:val="15A30135"/>
    <w:rsid w:val="15A34015"/>
    <w:rsid w:val="15BB487B"/>
    <w:rsid w:val="15CE086D"/>
    <w:rsid w:val="15E2236F"/>
    <w:rsid w:val="161D09ED"/>
    <w:rsid w:val="162323A3"/>
    <w:rsid w:val="162F30B1"/>
    <w:rsid w:val="1650762F"/>
    <w:rsid w:val="16510F12"/>
    <w:rsid w:val="166448F9"/>
    <w:rsid w:val="1677211D"/>
    <w:rsid w:val="167954F9"/>
    <w:rsid w:val="169F7296"/>
    <w:rsid w:val="16A060BA"/>
    <w:rsid w:val="16A57EAF"/>
    <w:rsid w:val="16AC6E3F"/>
    <w:rsid w:val="16C872D5"/>
    <w:rsid w:val="16D54FA3"/>
    <w:rsid w:val="16D84D9F"/>
    <w:rsid w:val="16E94D3E"/>
    <w:rsid w:val="170D06E0"/>
    <w:rsid w:val="17332185"/>
    <w:rsid w:val="17475951"/>
    <w:rsid w:val="179F2E61"/>
    <w:rsid w:val="17BE19D3"/>
    <w:rsid w:val="17C227C0"/>
    <w:rsid w:val="17D66D7C"/>
    <w:rsid w:val="17EE5BFF"/>
    <w:rsid w:val="18097740"/>
    <w:rsid w:val="184055B9"/>
    <w:rsid w:val="184A2082"/>
    <w:rsid w:val="185D3C42"/>
    <w:rsid w:val="185F38AF"/>
    <w:rsid w:val="188F0211"/>
    <w:rsid w:val="18AD1BEB"/>
    <w:rsid w:val="18B3004A"/>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C5D82"/>
    <w:rsid w:val="1A994988"/>
    <w:rsid w:val="1A9B546C"/>
    <w:rsid w:val="1AA3511F"/>
    <w:rsid w:val="1AAE3B54"/>
    <w:rsid w:val="1AC10987"/>
    <w:rsid w:val="1AD625DD"/>
    <w:rsid w:val="1AF423FA"/>
    <w:rsid w:val="1B0C5B32"/>
    <w:rsid w:val="1B0D3E82"/>
    <w:rsid w:val="1B1652AB"/>
    <w:rsid w:val="1B181CD5"/>
    <w:rsid w:val="1B265306"/>
    <w:rsid w:val="1B275F53"/>
    <w:rsid w:val="1B4F2450"/>
    <w:rsid w:val="1B530868"/>
    <w:rsid w:val="1B8C18B7"/>
    <w:rsid w:val="1BB73AE1"/>
    <w:rsid w:val="1BDA6D68"/>
    <w:rsid w:val="1BF14125"/>
    <w:rsid w:val="1C221DC8"/>
    <w:rsid w:val="1C555978"/>
    <w:rsid w:val="1C6554A1"/>
    <w:rsid w:val="1C7971B7"/>
    <w:rsid w:val="1C917D91"/>
    <w:rsid w:val="1CD402EC"/>
    <w:rsid w:val="1CED16EF"/>
    <w:rsid w:val="1CF02333"/>
    <w:rsid w:val="1D0C33A2"/>
    <w:rsid w:val="1D113E6E"/>
    <w:rsid w:val="1D114E5E"/>
    <w:rsid w:val="1D1F0050"/>
    <w:rsid w:val="1D2222DC"/>
    <w:rsid w:val="1D5B3CDE"/>
    <w:rsid w:val="1D6E2950"/>
    <w:rsid w:val="1D98209B"/>
    <w:rsid w:val="1DA23746"/>
    <w:rsid w:val="1DAA14B9"/>
    <w:rsid w:val="1DD04513"/>
    <w:rsid w:val="1DDD2BCB"/>
    <w:rsid w:val="1E0345E3"/>
    <w:rsid w:val="1E125EF4"/>
    <w:rsid w:val="1E1B7B7F"/>
    <w:rsid w:val="1E656063"/>
    <w:rsid w:val="1E6B06A5"/>
    <w:rsid w:val="1E7F7D9E"/>
    <w:rsid w:val="1E840DA4"/>
    <w:rsid w:val="1EA5444C"/>
    <w:rsid w:val="1EB350EF"/>
    <w:rsid w:val="1EC21749"/>
    <w:rsid w:val="1EEB7C4E"/>
    <w:rsid w:val="1F072441"/>
    <w:rsid w:val="1F171B83"/>
    <w:rsid w:val="1F2D491A"/>
    <w:rsid w:val="1F7369C7"/>
    <w:rsid w:val="1F94547B"/>
    <w:rsid w:val="1FAF308C"/>
    <w:rsid w:val="1FB64FF9"/>
    <w:rsid w:val="1FC11109"/>
    <w:rsid w:val="1FEF08C8"/>
    <w:rsid w:val="1FF72E6A"/>
    <w:rsid w:val="201B3ED4"/>
    <w:rsid w:val="20230F6D"/>
    <w:rsid w:val="20310B02"/>
    <w:rsid w:val="206F0406"/>
    <w:rsid w:val="20784063"/>
    <w:rsid w:val="207E346A"/>
    <w:rsid w:val="208E12C3"/>
    <w:rsid w:val="209502A3"/>
    <w:rsid w:val="2100305C"/>
    <w:rsid w:val="210F579E"/>
    <w:rsid w:val="212550B5"/>
    <w:rsid w:val="21592B62"/>
    <w:rsid w:val="2172049B"/>
    <w:rsid w:val="21747CD2"/>
    <w:rsid w:val="219263AA"/>
    <w:rsid w:val="219E5782"/>
    <w:rsid w:val="21D10545"/>
    <w:rsid w:val="21E72B0B"/>
    <w:rsid w:val="21F66F4C"/>
    <w:rsid w:val="221F2D96"/>
    <w:rsid w:val="22246DB1"/>
    <w:rsid w:val="22440067"/>
    <w:rsid w:val="225A6017"/>
    <w:rsid w:val="22631AF5"/>
    <w:rsid w:val="227A5532"/>
    <w:rsid w:val="22843A03"/>
    <w:rsid w:val="228E5C2C"/>
    <w:rsid w:val="22A338AB"/>
    <w:rsid w:val="22AD37A2"/>
    <w:rsid w:val="22B31E8A"/>
    <w:rsid w:val="22C05285"/>
    <w:rsid w:val="22C735BD"/>
    <w:rsid w:val="22F06957"/>
    <w:rsid w:val="23122833"/>
    <w:rsid w:val="231D4917"/>
    <w:rsid w:val="23223458"/>
    <w:rsid w:val="23225D32"/>
    <w:rsid w:val="23357BE6"/>
    <w:rsid w:val="2342574E"/>
    <w:rsid w:val="2377331D"/>
    <w:rsid w:val="237D43DE"/>
    <w:rsid w:val="23940114"/>
    <w:rsid w:val="23A17157"/>
    <w:rsid w:val="23B57016"/>
    <w:rsid w:val="23D4764B"/>
    <w:rsid w:val="23EC3718"/>
    <w:rsid w:val="24044EF2"/>
    <w:rsid w:val="2407139D"/>
    <w:rsid w:val="240B04F4"/>
    <w:rsid w:val="242A0646"/>
    <w:rsid w:val="2435301D"/>
    <w:rsid w:val="243A0633"/>
    <w:rsid w:val="243D6E1A"/>
    <w:rsid w:val="24607F91"/>
    <w:rsid w:val="246C581B"/>
    <w:rsid w:val="247C52A2"/>
    <w:rsid w:val="24CC106B"/>
    <w:rsid w:val="24D00598"/>
    <w:rsid w:val="24D725E9"/>
    <w:rsid w:val="25045F70"/>
    <w:rsid w:val="250474F1"/>
    <w:rsid w:val="25056E93"/>
    <w:rsid w:val="25092EBA"/>
    <w:rsid w:val="25241020"/>
    <w:rsid w:val="25302410"/>
    <w:rsid w:val="257572C3"/>
    <w:rsid w:val="25790E85"/>
    <w:rsid w:val="25972C60"/>
    <w:rsid w:val="25974C6F"/>
    <w:rsid w:val="259D1676"/>
    <w:rsid w:val="25A353EB"/>
    <w:rsid w:val="25B87B65"/>
    <w:rsid w:val="25CB78C3"/>
    <w:rsid w:val="25D54390"/>
    <w:rsid w:val="261879A7"/>
    <w:rsid w:val="261A071C"/>
    <w:rsid w:val="264B0BA4"/>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4E2228"/>
    <w:rsid w:val="27517A93"/>
    <w:rsid w:val="275E53AF"/>
    <w:rsid w:val="276658E8"/>
    <w:rsid w:val="276F6846"/>
    <w:rsid w:val="277E30D2"/>
    <w:rsid w:val="27803F2A"/>
    <w:rsid w:val="27A34941"/>
    <w:rsid w:val="27EE3A7B"/>
    <w:rsid w:val="283C23DF"/>
    <w:rsid w:val="283D69F1"/>
    <w:rsid w:val="284C16F5"/>
    <w:rsid w:val="28570AB5"/>
    <w:rsid w:val="285F2CDC"/>
    <w:rsid w:val="28622C36"/>
    <w:rsid w:val="289E7E22"/>
    <w:rsid w:val="28C2534B"/>
    <w:rsid w:val="28C5525A"/>
    <w:rsid w:val="28D14B96"/>
    <w:rsid w:val="29020C46"/>
    <w:rsid w:val="290240C7"/>
    <w:rsid w:val="291713AF"/>
    <w:rsid w:val="291A2B97"/>
    <w:rsid w:val="29274EE0"/>
    <w:rsid w:val="295029E3"/>
    <w:rsid w:val="2969197F"/>
    <w:rsid w:val="29746E87"/>
    <w:rsid w:val="297C03C2"/>
    <w:rsid w:val="299573AB"/>
    <w:rsid w:val="29BE5BD0"/>
    <w:rsid w:val="29C01572"/>
    <w:rsid w:val="29CA4207"/>
    <w:rsid w:val="29E74CE2"/>
    <w:rsid w:val="2A241B69"/>
    <w:rsid w:val="2A306A36"/>
    <w:rsid w:val="2A5372C6"/>
    <w:rsid w:val="2A5B03D8"/>
    <w:rsid w:val="2A6F6D07"/>
    <w:rsid w:val="2A882500"/>
    <w:rsid w:val="2AA35184"/>
    <w:rsid w:val="2AAB4E76"/>
    <w:rsid w:val="2AB63ABC"/>
    <w:rsid w:val="2AB63D0A"/>
    <w:rsid w:val="2B003D00"/>
    <w:rsid w:val="2B074D5E"/>
    <w:rsid w:val="2B100BA9"/>
    <w:rsid w:val="2B1B5825"/>
    <w:rsid w:val="2B1E3AFC"/>
    <w:rsid w:val="2B8D373E"/>
    <w:rsid w:val="2B9E4F56"/>
    <w:rsid w:val="2BDB5A88"/>
    <w:rsid w:val="2BE91C37"/>
    <w:rsid w:val="2BEC3F72"/>
    <w:rsid w:val="2C083572"/>
    <w:rsid w:val="2C185F94"/>
    <w:rsid w:val="2C1F1AC4"/>
    <w:rsid w:val="2C2945BA"/>
    <w:rsid w:val="2C2E71FC"/>
    <w:rsid w:val="2C3F3A41"/>
    <w:rsid w:val="2C4431C4"/>
    <w:rsid w:val="2C62059F"/>
    <w:rsid w:val="2C6634FA"/>
    <w:rsid w:val="2CAC022C"/>
    <w:rsid w:val="2CC11807"/>
    <w:rsid w:val="2CF16074"/>
    <w:rsid w:val="2CF81D1B"/>
    <w:rsid w:val="2D3F2453"/>
    <w:rsid w:val="2D835174"/>
    <w:rsid w:val="2D9331F9"/>
    <w:rsid w:val="2DD90B7B"/>
    <w:rsid w:val="2DDD3FC1"/>
    <w:rsid w:val="2DF701D8"/>
    <w:rsid w:val="2DF970A1"/>
    <w:rsid w:val="2E085834"/>
    <w:rsid w:val="2E1034F8"/>
    <w:rsid w:val="2E120D8E"/>
    <w:rsid w:val="2E443652"/>
    <w:rsid w:val="2E505773"/>
    <w:rsid w:val="2E742F70"/>
    <w:rsid w:val="2E9A689E"/>
    <w:rsid w:val="2EDC2A13"/>
    <w:rsid w:val="2EFD7DB9"/>
    <w:rsid w:val="2F1A081D"/>
    <w:rsid w:val="2F1C72B3"/>
    <w:rsid w:val="2F1E3DC0"/>
    <w:rsid w:val="2F2D326E"/>
    <w:rsid w:val="2F3112DE"/>
    <w:rsid w:val="2F3B6922"/>
    <w:rsid w:val="2F3D7B25"/>
    <w:rsid w:val="2F506C6D"/>
    <w:rsid w:val="2F512253"/>
    <w:rsid w:val="2F51291F"/>
    <w:rsid w:val="2F55758A"/>
    <w:rsid w:val="2F7F15AE"/>
    <w:rsid w:val="2FA54796"/>
    <w:rsid w:val="2FA674E2"/>
    <w:rsid w:val="2FFE7D49"/>
    <w:rsid w:val="3002294D"/>
    <w:rsid w:val="3011153D"/>
    <w:rsid w:val="30142680"/>
    <w:rsid w:val="302A11B1"/>
    <w:rsid w:val="302A5C42"/>
    <w:rsid w:val="30662043"/>
    <w:rsid w:val="30B8125D"/>
    <w:rsid w:val="30BF439A"/>
    <w:rsid w:val="30CF6A37"/>
    <w:rsid w:val="30D250CF"/>
    <w:rsid w:val="31002970"/>
    <w:rsid w:val="311016AD"/>
    <w:rsid w:val="3136622A"/>
    <w:rsid w:val="3139422E"/>
    <w:rsid w:val="31496359"/>
    <w:rsid w:val="314D19A6"/>
    <w:rsid w:val="316177A4"/>
    <w:rsid w:val="31700E4B"/>
    <w:rsid w:val="3172683C"/>
    <w:rsid w:val="31A359FC"/>
    <w:rsid w:val="31AD0D61"/>
    <w:rsid w:val="31CD297B"/>
    <w:rsid w:val="31CD73BD"/>
    <w:rsid w:val="31D66571"/>
    <w:rsid w:val="31DB4220"/>
    <w:rsid w:val="31DC56CD"/>
    <w:rsid w:val="31E63B94"/>
    <w:rsid w:val="31F27AF7"/>
    <w:rsid w:val="32176602"/>
    <w:rsid w:val="322A7699"/>
    <w:rsid w:val="322B25C6"/>
    <w:rsid w:val="32422E70"/>
    <w:rsid w:val="325E56C6"/>
    <w:rsid w:val="3275698A"/>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E4CAB"/>
    <w:rsid w:val="34584EE2"/>
    <w:rsid w:val="347D373F"/>
    <w:rsid w:val="34922A93"/>
    <w:rsid w:val="34956481"/>
    <w:rsid w:val="34A35871"/>
    <w:rsid w:val="34C06C9D"/>
    <w:rsid w:val="34DF24AE"/>
    <w:rsid w:val="351C4931"/>
    <w:rsid w:val="351C4EAC"/>
    <w:rsid w:val="351D4C26"/>
    <w:rsid w:val="352E7D40"/>
    <w:rsid w:val="35361A77"/>
    <w:rsid w:val="35461A22"/>
    <w:rsid w:val="35483CC9"/>
    <w:rsid w:val="35A815CB"/>
    <w:rsid w:val="35A85BD0"/>
    <w:rsid w:val="35AA1B9C"/>
    <w:rsid w:val="35BB7FD5"/>
    <w:rsid w:val="35DB09A6"/>
    <w:rsid w:val="36080591"/>
    <w:rsid w:val="3609472F"/>
    <w:rsid w:val="369B4CF0"/>
    <w:rsid w:val="36D62629"/>
    <w:rsid w:val="36D76172"/>
    <w:rsid w:val="36D84407"/>
    <w:rsid w:val="36E833BB"/>
    <w:rsid w:val="36EB1E1B"/>
    <w:rsid w:val="36F17F0D"/>
    <w:rsid w:val="37224581"/>
    <w:rsid w:val="3735197D"/>
    <w:rsid w:val="373756A2"/>
    <w:rsid w:val="375E0DA6"/>
    <w:rsid w:val="378B61A6"/>
    <w:rsid w:val="37B90F0B"/>
    <w:rsid w:val="37CD3F98"/>
    <w:rsid w:val="37DF75BA"/>
    <w:rsid w:val="37E148E2"/>
    <w:rsid w:val="37F848EE"/>
    <w:rsid w:val="37F912FC"/>
    <w:rsid w:val="38304889"/>
    <w:rsid w:val="38382675"/>
    <w:rsid w:val="383B7B0D"/>
    <w:rsid w:val="383C5206"/>
    <w:rsid w:val="3848553B"/>
    <w:rsid w:val="3851700B"/>
    <w:rsid w:val="385246B6"/>
    <w:rsid w:val="3876113B"/>
    <w:rsid w:val="38A53DB7"/>
    <w:rsid w:val="38BF3388"/>
    <w:rsid w:val="38CC268D"/>
    <w:rsid w:val="38DF1FDA"/>
    <w:rsid w:val="38EC2960"/>
    <w:rsid w:val="392536E2"/>
    <w:rsid w:val="39465F15"/>
    <w:rsid w:val="39505209"/>
    <w:rsid w:val="396453C5"/>
    <w:rsid w:val="39922CCF"/>
    <w:rsid w:val="39A65327"/>
    <w:rsid w:val="39A65C9B"/>
    <w:rsid w:val="39BC5ED6"/>
    <w:rsid w:val="39D27231"/>
    <w:rsid w:val="39EB39E0"/>
    <w:rsid w:val="39EF02D4"/>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B312338"/>
    <w:rsid w:val="3B3D0FF2"/>
    <w:rsid w:val="3B521A18"/>
    <w:rsid w:val="3B8D2B96"/>
    <w:rsid w:val="3B923660"/>
    <w:rsid w:val="3BCA44BE"/>
    <w:rsid w:val="3C061F3A"/>
    <w:rsid w:val="3C0A04F9"/>
    <w:rsid w:val="3C495480"/>
    <w:rsid w:val="3C4C3A42"/>
    <w:rsid w:val="3C6F0167"/>
    <w:rsid w:val="3C71667B"/>
    <w:rsid w:val="3C914F3B"/>
    <w:rsid w:val="3CC17F13"/>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A53531"/>
    <w:rsid w:val="3DB54E0C"/>
    <w:rsid w:val="3DB900C1"/>
    <w:rsid w:val="3DE91725"/>
    <w:rsid w:val="3DF159B1"/>
    <w:rsid w:val="3E1A106E"/>
    <w:rsid w:val="3E36303B"/>
    <w:rsid w:val="3E526044"/>
    <w:rsid w:val="3E6C2B3A"/>
    <w:rsid w:val="3E8C5311"/>
    <w:rsid w:val="3E8E7E55"/>
    <w:rsid w:val="3EB61473"/>
    <w:rsid w:val="3EC66011"/>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2C1320"/>
    <w:rsid w:val="40394FD1"/>
    <w:rsid w:val="40425879"/>
    <w:rsid w:val="405C1C05"/>
    <w:rsid w:val="40765D15"/>
    <w:rsid w:val="407B4FC1"/>
    <w:rsid w:val="407F2DE9"/>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55200"/>
    <w:rsid w:val="42772802"/>
    <w:rsid w:val="427C799E"/>
    <w:rsid w:val="42800B9B"/>
    <w:rsid w:val="4281223D"/>
    <w:rsid w:val="429623F7"/>
    <w:rsid w:val="42A06B6C"/>
    <w:rsid w:val="42A27996"/>
    <w:rsid w:val="42AA04E2"/>
    <w:rsid w:val="42E452CD"/>
    <w:rsid w:val="42EA5650"/>
    <w:rsid w:val="431408DA"/>
    <w:rsid w:val="4331401E"/>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1707F1"/>
    <w:rsid w:val="454F1836"/>
    <w:rsid w:val="45887B45"/>
    <w:rsid w:val="458B66DF"/>
    <w:rsid w:val="45940F0E"/>
    <w:rsid w:val="4595275B"/>
    <w:rsid w:val="45AC5DBA"/>
    <w:rsid w:val="45C647AF"/>
    <w:rsid w:val="45DD529D"/>
    <w:rsid w:val="45E57886"/>
    <w:rsid w:val="45E945CC"/>
    <w:rsid w:val="46003076"/>
    <w:rsid w:val="46026F63"/>
    <w:rsid w:val="46177E29"/>
    <w:rsid w:val="46205B7F"/>
    <w:rsid w:val="465D501C"/>
    <w:rsid w:val="466367DB"/>
    <w:rsid w:val="46686D18"/>
    <w:rsid w:val="46BF7E28"/>
    <w:rsid w:val="46C3037C"/>
    <w:rsid w:val="46FF15E0"/>
    <w:rsid w:val="4700581C"/>
    <w:rsid w:val="4702516A"/>
    <w:rsid w:val="474A4B33"/>
    <w:rsid w:val="47665A15"/>
    <w:rsid w:val="47677941"/>
    <w:rsid w:val="477F1660"/>
    <w:rsid w:val="4788232A"/>
    <w:rsid w:val="478B0398"/>
    <w:rsid w:val="478F5D0B"/>
    <w:rsid w:val="47A31F5F"/>
    <w:rsid w:val="47B52444"/>
    <w:rsid w:val="47B8724E"/>
    <w:rsid w:val="47ED7BCA"/>
    <w:rsid w:val="48016F34"/>
    <w:rsid w:val="480556DB"/>
    <w:rsid w:val="48185C56"/>
    <w:rsid w:val="48450F81"/>
    <w:rsid w:val="484E729D"/>
    <w:rsid w:val="48566773"/>
    <w:rsid w:val="485A23C2"/>
    <w:rsid w:val="48A16B62"/>
    <w:rsid w:val="48BC6222"/>
    <w:rsid w:val="48C245E9"/>
    <w:rsid w:val="48DB312A"/>
    <w:rsid w:val="48DF49D9"/>
    <w:rsid w:val="492108CC"/>
    <w:rsid w:val="49413F52"/>
    <w:rsid w:val="494F6304"/>
    <w:rsid w:val="4A05334F"/>
    <w:rsid w:val="4A244932"/>
    <w:rsid w:val="4A2922C8"/>
    <w:rsid w:val="4A4117B2"/>
    <w:rsid w:val="4A4A6F73"/>
    <w:rsid w:val="4A7A4350"/>
    <w:rsid w:val="4A7E2497"/>
    <w:rsid w:val="4A896826"/>
    <w:rsid w:val="4ABF5E17"/>
    <w:rsid w:val="4AD52CE0"/>
    <w:rsid w:val="4AE01A66"/>
    <w:rsid w:val="4AE104D6"/>
    <w:rsid w:val="4AE724D1"/>
    <w:rsid w:val="4AE77140"/>
    <w:rsid w:val="4AED707B"/>
    <w:rsid w:val="4B015D61"/>
    <w:rsid w:val="4B0B7979"/>
    <w:rsid w:val="4B1530DD"/>
    <w:rsid w:val="4B520DF4"/>
    <w:rsid w:val="4B603107"/>
    <w:rsid w:val="4B9802B0"/>
    <w:rsid w:val="4B9E65BE"/>
    <w:rsid w:val="4B9F33A8"/>
    <w:rsid w:val="4BA80AFD"/>
    <w:rsid w:val="4BB033BA"/>
    <w:rsid w:val="4BB469AD"/>
    <w:rsid w:val="4BC06040"/>
    <w:rsid w:val="4BF441D2"/>
    <w:rsid w:val="4BFA3E6A"/>
    <w:rsid w:val="4C1C2A09"/>
    <w:rsid w:val="4C423098"/>
    <w:rsid w:val="4C694192"/>
    <w:rsid w:val="4C7964D9"/>
    <w:rsid w:val="4C9269F6"/>
    <w:rsid w:val="4CC84335"/>
    <w:rsid w:val="4CE9350A"/>
    <w:rsid w:val="4D225F85"/>
    <w:rsid w:val="4D297BF3"/>
    <w:rsid w:val="4D2D0EAF"/>
    <w:rsid w:val="4D7F0082"/>
    <w:rsid w:val="4D952FD9"/>
    <w:rsid w:val="4D970662"/>
    <w:rsid w:val="4DB33393"/>
    <w:rsid w:val="4DBC3CE3"/>
    <w:rsid w:val="4DCF1E0D"/>
    <w:rsid w:val="4DD632D9"/>
    <w:rsid w:val="4DE05D9E"/>
    <w:rsid w:val="4DE05DF9"/>
    <w:rsid w:val="4DE44800"/>
    <w:rsid w:val="4DEE0709"/>
    <w:rsid w:val="4DFC14EA"/>
    <w:rsid w:val="4DFF6815"/>
    <w:rsid w:val="4E0A3427"/>
    <w:rsid w:val="4E287F63"/>
    <w:rsid w:val="4E304B5D"/>
    <w:rsid w:val="4E611B8B"/>
    <w:rsid w:val="4E6279D7"/>
    <w:rsid w:val="4E682F8C"/>
    <w:rsid w:val="4E6A7BB7"/>
    <w:rsid w:val="4EB23220"/>
    <w:rsid w:val="4F0773B4"/>
    <w:rsid w:val="4F307BB1"/>
    <w:rsid w:val="4F3D562D"/>
    <w:rsid w:val="4F5C4EE0"/>
    <w:rsid w:val="4F6E1972"/>
    <w:rsid w:val="4F943166"/>
    <w:rsid w:val="4FBA02A1"/>
    <w:rsid w:val="4FE7106E"/>
    <w:rsid w:val="50053943"/>
    <w:rsid w:val="50374A3C"/>
    <w:rsid w:val="50550E55"/>
    <w:rsid w:val="50901457"/>
    <w:rsid w:val="509F43E4"/>
    <w:rsid w:val="50A54D3E"/>
    <w:rsid w:val="50B82E88"/>
    <w:rsid w:val="50BB32A7"/>
    <w:rsid w:val="50F1402B"/>
    <w:rsid w:val="50FD2AD9"/>
    <w:rsid w:val="51081E85"/>
    <w:rsid w:val="51097D9A"/>
    <w:rsid w:val="51237D2E"/>
    <w:rsid w:val="515B06D0"/>
    <w:rsid w:val="51996737"/>
    <w:rsid w:val="51B408B8"/>
    <w:rsid w:val="51B80848"/>
    <w:rsid w:val="51CC0868"/>
    <w:rsid w:val="51D5340F"/>
    <w:rsid w:val="52382F2A"/>
    <w:rsid w:val="52386E3D"/>
    <w:rsid w:val="523A7DD1"/>
    <w:rsid w:val="523B7711"/>
    <w:rsid w:val="5271774C"/>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3EC4BF7"/>
    <w:rsid w:val="53F758A1"/>
    <w:rsid w:val="540D5A7F"/>
    <w:rsid w:val="542E2BC2"/>
    <w:rsid w:val="54352A96"/>
    <w:rsid w:val="54447390"/>
    <w:rsid w:val="544B514D"/>
    <w:rsid w:val="545E1D01"/>
    <w:rsid w:val="54674051"/>
    <w:rsid w:val="54935B8F"/>
    <w:rsid w:val="54CC6227"/>
    <w:rsid w:val="54D10F9B"/>
    <w:rsid w:val="54D97871"/>
    <w:rsid w:val="551D586C"/>
    <w:rsid w:val="55200298"/>
    <w:rsid w:val="55335E1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E0560F"/>
    <w:rsid w:val="56E06E61"/>
    <w:rsid w:val="56F653FE"/>
    <w:rsid w:val="570A44A0"/>
    <w:rsid w:val="574448FC"/>
    <w:rsid w:val="57561D39"/>
    <w:rsid w:val="575B7AFD"/>
    <w:rsid w:val="57660D3F"/>
    <w:rsid w:val="5785783C"/>
    <w:rsid w:val="57D1153D"/>
    <w:rsid w:val="57FA3774"/>
    <w:rsid w:val="58084A3C"/>
    <w:rsid w:val="582772A7"/>
    <w:rsid w:val="58531B77"/>
    <w:rsid w:val="585D2975"/>
    <w:rsid w:val="585F64F9"/>
    <w:rsid w:val="587E3341"/>
    <w:rsid w:val="587F428B"/>
    <w:rsid w:val="58CF56D8"/>
    <w:rsid w:val="58CF671F"/>
    <w:rsid w:val="58D31010"/>
    <w:rsid w:val="58D6741E"/>
    <w:rsid w:val="58DB0535"/>
    <w:rsid w:val="58E62E0E"/>
    <w:rsid w:val="58EA3D0E"/>
    <w:rsid w:val="58F24A5D"/>
    <w:rsid w:val="58F71269"/>
    <w:rsid w:val="58FE045E"/>
    <w:rsid w:val="59561946"/>
    <w:rsid w:val="59670F51"/>
    <w:rsid w:val="596A44F9"/>
    <w:rsid w:val="596C19BB"/>
    <w:rsid w:val="59790BDB"/>
    <w:rsid w:val="597E3F42"/>
    <w:rsid w:val="598653AC"/>
    <w:rsid w:val="59AC3C8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9A2B59"/>
    <w:rsid w:val="5BC0085A"/>
    <w:rsid w:val="5BE03293"/>
    <w:rsid w:val="5BF03D58"/>
    <w:rsid w:val="5BF20AFB"/>
    <w:rsid w:val="5C1A6BB2"/>
    <w:rsid w:val="5C37233A"/>
    <w:rsid w:val="5C5355FE"/>
    <w:rsid w:val="5C6F4105"/>
    <w:rsid w:val="5CBB7F6F"/>
    <w:rsid w:val="5CC248CE"/>
    <w:rsid w:val="5D442CB4"/>
    <w:rsid w:val="5D7C3F11"/>
    <w:rsid w:val="5D9D49E0"/>
    <w:rsid w:val="5DDF1821"/>
    <w:rsid w:val="5DE2656A"/>
    <w:rsid w:val="5DEA2F91"/>
    <w:rsid w:val="5DF94AE0"/>
    <w:rsid w:val="5DFA5883"/>
    <w:rsid w:val="5E3146A3"/>
    <w:rsid w:val="5E442F62"/>
    <w:rsid w:val="5E6C2C5B"/>
    <w:rsid w:val="5E6E2DD8"/>
    <w:rsid w:val="5E7251A2"/>
    <w:rsid w:val="5E7C3591"/>
    <w:rsid w:val="5E9D0E18"/>
    <w:rsid w:val="5EA341D7"/>
    <w:rsid w:val="5EA755DE"/>
    <w:rsid w:val="5ED35F0E"/>
    <w:rsid w:val="5EDF7832"/>
    <w:rsid w:val="5EFC1390"/>
    <w:rsid w:val="5EFC3EB6"/>
    <w:rsid w:val="5F03335D"/>
    <w:rsid w:val="5F0368C7"/>
    <w:rsid w:val="5F1544E7"/>
    <w:rsid w:val="5F312D8D"/>
    <w:rsid w:val="5F3C4923"/>
    <w:rsid w:val="5F5A7800"/>
    <w:rsid w:val="5F9A65E6"/>
    <w:rsid w:val="5F9B2627"/>
    <w:rsid w:val="5FAC7B1F"/>
    <w:rsid w:val="5FB80E3D"/>
    <w:rsid w:val="5FB831B4"/>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FF21D9"/>
    <w:rsid w:val="613021B3"/>
    <w:rsid w:val="613253FD"/>
    <w:rsid w:val="61421F29"/>
    <w:rsid w:val="61712185"/>
    <w:rsid w:val="618B7207"/>
    <w:rsid w:val="61A90D68"/>
    <w:rsid w:val="62065A1D"/>
    <w:rsid w:val="621775E2"/>
    <w:rsid w:val="622F7552"/>
    <w:rsid w:val="6250406E"/>
    <w:rsid w:val="627D6831"/>
    <w:rsid w:val="62811B1C"/>
    <w:rsid w:val="62A20409"/>
    <w:rsid w:val="62B54B44"/>
    <w:rsid w:val="62E045DA"/>
    <w:rsid w:val="62E454A1"/>
    <w:rsid w:val="62E775FD"/>
    <w:rsid w:val="62F36E4C"/>
    <w:rsid w:val="62F47F8F"/>
    <w:rsid w:val="62F7233F"/>
    <w:rsid w:val="631F3FB4"/>
    <w:rsid w:val="6340438B"/>
    <w:rsid w:val="6353238E"/>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816438"/>
    <w:rsid w:val="64A170D2"/>
    <w:rsid w:val="64A251DD"/>
    <w:rsid w:val="650242F0"/>
    <w:rsid w:val="65365B2B"/>
    <w:rsid w:val="653F447E"/>
    <w:rsid w:val="65542778"/>
    <w:rsid w:val="655829AF"/>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E07C7"/>
    <w:rsid w:val="69236A65"/>
    <w:rsid w:val="692E469B"/>
    <w:rsid w:val="69315C48"/>
    <w:rsid w:val="694019EC"/>
    <w:rsid w:val="69584DB4"/>
    <w:rsid w:val="696C3D80"/>
    <w:rsid w:val="698A5EE4"/>
    <w:rsid w:val="69A768F5"/>
    <w:rsid w:val="69C811ED"/>
    <w:rsid w:val="69D33070"/>
    <w:rsid w:val="69E97E75"/>
    <w:rsid w:val="69FB5D9E"/>
    <w:rsid w:val="69FF6FDA"/>
    <w:rsid w:val="6A1A3007"/>
    <w:rsid w:val="6A1E645E"/>
    <w:rsid w:val="6A417049"/>
    <w:rsid w:val="6A7903E5"/>
    <w:rsid w:val="6A8219B9"/>
    <w:rsid w:val="6AA03032"/>
    <w:rsid w:val="6AA86FEC"/>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ED7C80"/>
    <w:rsid w:val="6EF773A4"/>
    <w:rsid w:val="6F1E2E65"/>
    <w:rsid w:val="6F2F2D9E"/>
    <w:rsid w:val="6F4147D9"/>
    <w:rsid w:val="6F581F47"/>
    <w:rsid w:val="6F5B0D5A"/>
    <w:rsid w:val="6F5C35EA"/>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10952C1"/>
    <w:rsid w:val="71452CD8"/>
    <w:rsid w:val="7158683A"/>
    <w:rsid w:val="715B2F52"/>
    <w:rsid w:val="71764F23"/>
    <w:rsid w:val="71946576"/>
    <w:rsid w:val="71967E84"/>
    <w:rsid w:val="71A61873"/>
    <w:rsid w:val="71AF4936"/>
    <w:rsid w:val="71B12351"/>
    <w:rsid w:val="71D75D0F"/>
    <w:rsid w:val="721919B3"/>
    <w:rsid w:val="721A6098"/>
    <w:rsid w:val="721D18D3"/>
    <w:rsid w:val="72310D1A"/>
    <w:rsid w:val="725D6B54"/>
    <w:rsid w:val="72986FA0"/>
    <w:rsid w:val="72A17C99"/>
    <w:rsid w:val="72AD7197"/>
    <w:rsid w:val="72AF6F7E"/>
    <w:rsid w:val="72CD226C"/>
    <w:rsid w:val="73047904"/>
    <w:rsid w:val="73253EFA"/>
    <w:rsid w:val="734C1A6A"/>
    <w:rsid w:val="735C5949"/>
    <w:rsid w:val="73671287"/>
    <w:rsid w:val="73737DA5"/>
    <w:rsid w:val="73740A39"/>
    <w:rsid w:val="73783823"/>
    <w:rsid w:val="73887B3E"/>
    <w:rsid w:val="73892412"/>
    <w:rsid w:val="73AF2114"/>
    <w:rsid w:val="73C80DEC"/>
    <w:rsid w:val="73E96BCA"/>
    <w:rsid w:val="73EE4A6E"/>
    <w:rsid w:val="741048BC"/>
    <w:rsid w:val="742E78D4"/>
    <w:rsid w:val="74317498"/>
    <w:rsid w:val="74335A84"/>
    <w:rsid w:val="74676A28"/>
    <w:rsid w:val="747E40B6"/>
    <w:rsid w:val="74AC3224"/>
    <w:rsid w:val="74BB2C83"/>
    <w:rsid w:val="74C33758"/>
    <w:rsid w:val="74DE4E5F"/>
    <w:rsid w:val="74EB54AB"/>
    <w:rsid w:val="74FF6D43"/>
    <w:rsid w:val="750201A2"/>
    <w:rsid w:val="751A76AF"/>
    <w:rsid w:val="75250574"/>
    <w:rsid w:val="7550443E"/>
    <w:rsid w:val="755F0BCC"/>
    <w:rsid w:val="756F17F9"/>
    <w:rsid w:val="75825461"/>
    <w:rsid w:val="759926FC"/>
    <w:rsid w:val="75A24276"/>
    <w:rsid w:val="75AA231D"/>
    <w:rsid w:val="75E8633A"/>
    <w:rsid w:val="76393874"/>
    <w:rsid w:val="763F09AA"/>
    <w:rsid w:val="764F3FCC"/>
    <w:rsid w:val="7650339F"/>
    <w:rsid w:val="76603C9A"/>
    <w:rsid w:val="76832D41"/>
    <w:rsid w:val="76BB1CAB"/>
    <w:rsid w:val="76C04050"/>
    <w:rsid w:val="76D67314"/>
    <w:rsid w:val="76E251D7"/>
    <w:rsid w:val="76E65049"/>
    <w:rsid w:val="77076007"/>
    <w:rsid w:val="77413F7E"/>
    <w:rsid w:val="77464076"/>
    <w:rsid w:val="7758241F"/>
    <w:rsid w:val="777A7D22"/>
    <w:rsid w:val="77835654"/>
    <w:rsid w:val="7797109C"/>
    <w:rsid w:val="779A2A38"/>
    <w:rsid w:val="77B4450A"/>
    <w:rsid w:val="77B46E73"/>
    <w:rsid w:val="77E37A12"/>
    <w:rsid w:val="77FE3468"/>
    <w:rsid w:val="78250553"/>
    <w:rsid w:val="78546F0C"/>
    <w:rsid w:val="78EE1C79"/>
    <w:rsid w:val="78F85605"/>
    <w:rsid w:val="78FA66FA"/>
    <w:rsid w:val="79424F6E"/>
    <w:rsid w:val="797239CC"/>
    <w:rsid w:val="79831473"/>
    <w:rsid w:val="79983E9C"/>
    <w:rsid w:val="7999527A"/>
    <w:rsid w:val="79AF76C5"/>
    <w:rsid w:val="79C25EE1"/>
    <w:rsid w:val="79CE2967"/>
    <w:rsid w:val="79E34934"/>
    <w:rsid w:val="79EA664C"/>
    <w:rsid w:val="79F9627A"/>
    <w:rsid w:val="7A2F3BBF"/>
    <w:rsid w:val="7A2F459A"/>
    <w:rsid w:val="7A322A39"/>
    <w:rsid w:val="7A517022"/>
    <w:rsid w:val="7A6F5001"/>
    <w:rsid w:val="7A9635B3"/>
    <w:rsid w:val="7AA2343E"/>
    <w:rsid w:val="7AD60EB8"/>
    <w:rsid w:val="7ADA73A4"/>
    <w:rsid w:val="7AE66B99"/>
    <w:rsid w:val="7AF34646"/>
    <w:rsid w:val="7AFE508C"/>
    <w:rsid w:val="7B0A3BCA"/>
    <w:rsid w:val="7B345AA9"/>
    <w:rsid w:val="7B4048C1"/>
    <w:rsid w:val="7B73082F"/>
    <w:rsid w:val="7B7B492E"/>
    <w:rsid w:val="7BB46FBD"/>
    <w:rsid w:val="7BC62E00"/>
    <w:rsid w:val="7BE35E2A"/>
    <w:rsid w:val="7BF66C24"/>
    <w:rsid w:val="7BFA1CC7"/>
    <w:rsid w:val="7BFB70B3"/>
    <w:rsid w:val="7C0251DA"/>
    <w:rsid w:val="7C0E41D1"/>
    <w:rsid w:val="7C1052F2"/>
    <w:rsid w:val="7C2668D9"/>
    <w:rsid w:val="7C32497F"/>
    <w:rsid w:val="7C3C69AE"/>
    <w:rsid w:val="7C691974"/>
    <w:rsid w:val="7C8A6570"/>
    <w:rsid w:val="7C8B7390"/>
    <w:rsid w:val="7C9B0D0E"/>
    <w:rsid w:val="7CA42B03"/>
    <w:rsid w:val="7CD2318A"/>
    <w:rsid w:val="7CD2702A"/>
    <w:rsid w:val="7CD34C42"/>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355A7B"/>
    <w:rsid w:val="7E6E3E85"/>
    <w:rsid w:val="7E9C184B"/>
    <w:rsid w:val="7EA72948"/>
    <w:rsid w:val="7EB31EDB"/>
    <w:rsid w:val="7EE70CC0"/>
    <w:rsid w:val="7EEB48DB"/>
    <w:rsid w:val="7EF27444"/>
    <w:rsid w:val="7F185A04"/>
    <w:rsid w:val="7F265C58"/>
    <w:rsid w:val="7F4C461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autoRedefine/>
    <w:qFormat/>
    <w:uiPriority w:val="0"/>
    <w:pPr>
      <w:keepNext/>
      <w:keepLines/>
      <w:spacing w:before="340" w:after="330" w:line="576" w:lineRule="auto"/>
      <w:outlineLvl w:val="0"/>
    </w:pPr>
    <w:rPr>
      <w:b/>
      <w:bCs/>
      <w:kern w:val="44"/>
      <w:sz w:val="44"/>
      <w:szCs w:val="44"/>
    </w:rPr>
  </w:style>
  <w:style w:type="paragraph" w:styleId="6">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autoRedefine/>
    <w:qFormat/>
    <w:uiPriority w:val="0"/>
    <w:pPr>
      <w:keepNext/>
      <w:keepLines/>
      <w:spacing w:before="260" w:after="260" w:line="416" w:lineRule="auto"/>
      <w:outlineLvl w:val="2"/>
    </w:pPr>
    <w:rPr>
      <w:b/>
      <w:bCs/>
      <w:sz w:val="32"/>
      <w:szCs w:val="32"/>
    </w:rPr>
  </w:style>
  <w:style w:type="paragraph" w:styleId="8">
    <w:name w:val="heading 4"/>
    <w:basedOn w:val="1"/>
    <w:next w:val="1"/>
    <w:autoRedefine/>
    <w:qFormat/>
    <w:uiPriority w:val="0"/>
    <w:pPr>
      <w:keepNext/>
      <w:keepLines/>
      <w:spacing w:line="360" w:lineRule="auto"/>
      <w:outlineLvl w:val="3"/>
    </w:pPr>
    <w:rPr>
      <w:rFonts w:ascii="Arial" w:hAnsi="Arial"/>
      <w:b/>
      <w:bCs/>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link w:val="73"/>
    <w:autoRedefine/>
    <w:qFormat/>
    <w:uiPriority w:val="0"/>
  </w:style>
  <w:style w:type="paragraph" w:customStyle="1" w:styleId="4">
    <w:name w:val="Default"/>
    <w:next w:val="5"/>
    <w:autoRedefine/>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List Number"/>
    <w:basedOn w:val="1"/>
    <w:autoRedefine/>
    <w:qFormat/>
    <w:uiPriority w:val="0"/>
    <w:pPr>
      <w:widowControl/>
      <w:spacing w:beforeAutospacing="1" w:afterAutospacing="1"/>
      <w:jc w:val="left"/>
    </w:pPr>
    <w:rPr>
      <w:rFonts w:ascii="宋体" w:hAnsi="宋体" w:cs="宋体"/>
      <w:kern w:val="0"/>
      <w:sz w:val="24"/>
    </w:rPr>
  </w:style>
  <w:style w:type="paragraph" w:styleId="10">
    <w:name w:val="Normal Indent"/>
    <w:basedOn w:val="1"/>
    <w:autoRedefine/>
    <w:qFormat/>
    <w:uiPriority w:val="0"/>
    <w:pPr>
      <w:widowControl/>
      <w:spacing w:beforeAutospacing="1" w:afterAutospacing="1"/>
      <w:jc w:val="left"/>
    </w:pPr>
    <w:rPr>
      <w:rFonts w:ascii="宋体" w:hAnsi="宋体" w:cs="宋体"/>
      <w:kern w:val="0"/>
      <w:sz w:val="24"/>
    </w:rPr>
  </w:style>
  <w:style w:type="paragraph" w:styleId="11">
    <w:name w:val="Document Map"/>
    <w:basedOn w:val="1"/>
    <w:link w:val="75"/>
    <w:autoRedefine/>
    <w:qFormat/>
    <w:uiPriority w:val="0"/>
    <w:rPr>
      <w:rFonts w:ascii="宋体" w:hAnsi="Calibri"/>
      <w:sz w:val="18"/>
      <w:szCs w:val="18"/>
    </w:rPr>
  </w:style>
  <w:style w:type="paragraph" w:styleId="12">
    <w:name w:val="annotation text"/>
    <w:basedOn w:val="1"/>
    <w:autoRedefine/>
    <w:qFormat/>
    <w:uiPriority w:val="0"/>
    <w:pPr>
      <w:jc w:val="left"/>
    </w:pPr>
  </w:style>
  <w:style w:type="paragraph" w:styleId="13">
    <w:name w:val="Body Text 3"/>
    <w:basedOn w:val="1"/>
    <w:autoRedefine/>
    <w:qFormat/>
    <w:uiPriority w:val="0"/>
    <w:rPr>
      <w:sz w:val="16"/>
      <w:szCs w:val="16"/>
    </w:rPr>
  </w:style>
  <w:style w:type="paragraph" w:styleId="14">
    <w:name w:val="Body Text Indent"/>
    <w:basedOn w:val="1"/>
    <w:next w:val="15"/>
    <w:autoRedefine/>
    <w:qFormat/>
    <w:uiPriority w:val="0"/>
    <w:pPr>
      <w:widowControl/>
      <w:spacing w:beforeAutospacing="1" w:afterAutospacing="1"/>
      <w:jc w:val="left"/>
    </w:pPr>
    <w:rPr>
      <w:rFonts w:ascii="宋体" w:hAnsi="宋体" w:cs="宋体"/>
      <w:kern w:val="0"/>
      <w:sz w:val="24"/>
    </w:rPr>
  </w:style>
  <w:style w:type="paragraph" w:styleId="15">
    <w:name w:val="envelope return"/>
    <w:basedOn w:val="1"/>
    <w:autoRedefine/>
    <w:unhideWhenUsed/>
    <w:qFormat/>
    <w:uiPriority w:val="99"/>
    <w:pPr>
      <w:snapToGrid w:val="0"/>
    </w:pPr>
    <w:rPr>
      <w:rFonts w:ascii="Arial" w:hAnsi="Arial"/>
    </w:rPr>
  </w:style>
  <w:style w:type="paragraph" w:styleId="16">
    <w:name w:val="List 2"/>
    <w:basedOn w:val="1"/>
    <w:autoRedefine/>
    <w:qFormat/>
    <w:uiPriority w:val="0"/>
    <w:pPr>
      <w:ind w:left="100" w:leftChars="200" w:hanging="200" w:hangingChars="200"/>
    </w:pPr>
  </w:style>
  <w:style w:type="paragraph" w:styleId="17">
    <w:name w:val="Block Text"/>
    <w:basedOn w:val="1"/>
    <w:autoRedefine/>
    <w:unhideWhenUsed/>
    <w:qFormat/>
    <w:uiPriority w:val="99"/>
    <w:pPr>
      <w:snapToGrid w:val="0"/>
      <w:spacing w:before="100" w:after="100"/>
      <w:ind w:left="-22" w:leftChars="-8" w:right="-40" w:firstLine="548" w:firstLineChars="196"/>
    </w:pPr>
    <w:rPr>
      <w:rFonts w:ascii="宋体" w:hAnsi="宋体"/>
      <w:sz w:val="28"/>
    </w:rPr>
  </w:style>
  <w:style w:type="paragraph" w:styleId="18">
    <w:name w:val="toc 3"/>
    <w:basedOn w:val="1"/>
    <w:next w:val="1"/>
    <w:autoRedefine/>
    <w:qFormat/>
    <w:uiPriority w:val="0"/>
    <w:pPr>
      <w:tabs>
        <w:tab w:val="left" w:pos="709"/>
        <w:tab w:val="right" w:leader="dot" w:pos="8789"/>
      </w:tabs>
      <w:spacing w:line="400" w:lineRule="atLeast"/>
    </w:pPr>
    <w:rPr>
      <w:rFonts w:ascii="宋体"/>
      <w:kern w:val="0"/>
      <w:szCs w:val="20"/>
    </w:rPr>
  </w:style>
  <w:style w:type="paragraph" w:styleId="19">
    <w:name w:val="Plain Text"/>
    <w:basedOn w:val="1"/>
    <w:autoRedefine/>
    <w:qFormat/>
    <w:uiPriority w:val="0"/>
    <w:pPr>
      <w:widowControl/>
      <w:spacing w:beforeAutospacing="1" w:afterAutospacing="1"/>
      <w:jc w:val="left"/>
    </w:pPr>
    <w:rPr>
      <w:rFonts w:ascii="宋体" w:hAnsi="宋体" w:cs="宋体"/>
      <w:kern w:val="0"/>
      <w:sz w:val="24"/>
    </w:rPr>
  </w:style>
  <w:style w:type="paragraph" w:styleId="20">
    <w:name w:val="Date"/>
    <w:basedOn w:val="1"/>
    <w:next w:val="1"/>
    <w:autoRedefine/>
    <w:qFormat/>
    <w:uiPriority w:val="0"/>
    <w:pPr>
      <w:ind w:left="100" w:leftChars="2500"/>
    </w:pPr>
    <w:rPr>
      <w:rFonts w:ascii="宋体" w:hAnsi="宋体"/>
      <w:sz w:val="28"/>
    </w:rPr>
  </w:style>
  <w:style w:type="paragraph" w:styleId="21">
    <w:name w:val="Body Text Indent 2"/>
    <w:basedOn w:val="1"/>
    <w:autoRedefine/>
    <w:qFormat/>
    <w:uiPriority w:val="0"/>
    <w:pPr>
      <w:spacing w:line="480" w:lineRule="auto"/>
      <w:ind w:left="420" w:leftChars="200"/>
    </w:pPr>
  </w:style>
  <w:style w:type="paragraph" w:styleId="22">
    <w:name w:val="footer"/>
    <w:basedOn w:val="1"/>
    <w:autoRedefine/>
    <w:qFormat/>
    <w:uiPriority w:val="0"/>
    <w:pPr>
      <w:tabs>
        <w:tab w:val="center" w:pos="4153"/>
        <w:tab w:val="right" w:pos="8306"/>
      </w:tabs>
      <w:snapToGrid w:val="0"/>
      <w:jc w:val="left"/>
    </w:pPr>
    <w:rPr>
      <w:sz w:val="18"/>
      <w:szCs w:val="18"/>
    </w:rPr>
  </w:style>
  <w:style w:type="paragraph" w:styleId="23">
    <w:name w:val="toc 1"/>
    <w:basedOn w:val="1"/>
    <w:next w:val="1"/>
    <w:autoRedefine/>
    <w:qFormat/>
    <w:uiPriority w:val="0"/>
  </w:style>
  <w:style w:type="paragraph" w:styleId="24">
    <w:name w:val="List"/>
    <w:basedOn w:val="1"/>
    <w:autoRedefine/>
    <w:qFormat/>
    <w:uiPriority w:val="0"/>
    <w:pPr>
      <w:ind w:left="200" w:hanging="200" w:hangingChars="200"/>
    </w:pPr>
  </w:style>
  <w:style w:type="paragraph" w:styleId="25">
    <w:name w:val="Body Text 2"/>
    <w:basedOn w:val="1"/>
    <w:next w:val="3"/>
    <w:autoRedefine/>
    <w:qFormat/>
    <w:uiPriority w:val="0"/>
    <w:pPr>
      <w:spacing w:line="480" w:lineRule="auto"/>
    </w:pPr>
  </w:style>
  <w:style w:type="paragraph" w:styleId="26">
    <w:name w:val="Message Header"/>
    <w:basedOn w:val="1"/>
    <w:autoRedefine/>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rPr>
  </w:style>
  <w:style w:type="paragraph" w:styleId="2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autoRedefine/>
    <w:qFormat/>
    <w:uiPriority w:val="99"/>
    <w:pPr>
      <w:spacing w:before="100" w:beforeAutospacing="1" w:after="100" w:afterAutospacing="1"/>
      <w:jc w:val="left"/>
    </w:pPr>
    <w:rPr>
      <w:kern w:val="0"/>
      <w:sz w:val="24"/>
    </w:rPr>
  </w:style>
  <w:style w:type="paragraph" w:styleId="29">
    <w:name w:val="Title"/>
    <w:basedOn w:val="1"/>
    <w:autoRedefine/>
    <w:qFormat/>
    <w:uiPriority w:val="0"/>
    <w:pPr>
      <w:jc w:val="center"/>
      <w:outlineLvl w:val="0"/>
    </w:pPr>
    <w:rPr>
      <w:rFonts w:ascii="Arial" w:hAnsi="Arial" w:cs="Arial"/>
      <w:b/>
      <w:bCs/>
      <w:sz w:val="32"/>
      <w:szCs w:val="32"/>
    </w:rPr>
  </w:style>
  <w:style w:type="paragraph" w:styleId="30">
    <w:name w:val="Body Text First Indent"/>
    <w:basedOn w:val="3"/>
    <w:next w:val="31"/>
    <w:autoRedefine/>
    <w:qFormat/>
    <w:uiPriority w:val="0"/>
    <w:pPr>
      <w:spacing w:line="360" w:lineRule="auto"/>
      <w:ind w:firstLine="420" w:firstLineChars="100"/>
    </w:pPr>
    <w:rPr>
      <w:szCs w:val="21"/>
    </w:rPr>
  </w:style>
  <w:style w:type="paragraph" w:styleId="31">
    <w:name w:val="Body Text First Indent 2"/>
    <w:basedOn w:val="14"/>
    <w:next w:val="10"/>
    <w:autoRedefine/>
    <w:qFormat/>
    <w:uiPriority w:val="0"/>
    <w:pPr>
      <w:ind w:firstLine="420" w:firstLineChars="200"/>
    </w:pPr>
  </w:style>
  <w:style w:type="table" w:styleId="33">
    <w:name w:val="Table Grid"/>
    <w:basedOn w:val="32"/>
    <w:autoRedefine/>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autoRedefine/>
    <w:qFormat/>
    <w:uiPriority w:val="0"/>
    <w:rPr>
      <w:b/>
      <w:bCs/>
      <w:szCs w:val="24"/>
    </w:rPr>
  </w:style>
  <w:style w:type="character" w:styleId="36">
    <w:name w:val="page number"/>
    <w:basedOn w:val="34"/>
    <w:autoRedefine/>
    <w:qFormat/>
    <w:uiPriority w:val="0"/>
  </w:style>
  <w:style w:type="character" w:styleId="37">
    <w:name w:val="FollowedHyperlink"/>
    <w:autoRedefine/>
    <w:qFormat/>
    <w:uiPriority w:val="0"/>
    <w:rPr>
      <w:color w:val="333333"/>
      <w:szCs w:val="24"/>
      <w:u w:val="none"/>
    </w:rPr>
  </w:style>
  <w:style w:type="character" w:styleId="38">
    <w:name w:val="Emphasis"/>
    <w:basedOn w:val="34"/>
    <w:autoRedefine/>
    <w:qFormat/>
    <w:uiPriority w:val="0"/>
  </w:style>
  <w:style w:type="character" w:styleId="39">
    <w:name w:val="HTML Definition"/>
    <w:basedOn w:val="34"/>
    <w:autoRedefine/>
    <w:qFormat/>
    <w:uiPriority w:val="0"/>
  </w:style>
  <w:style w:type="character" w:styleId="40">
    <w:name w:val="HTML Typewriter"/>
    <w:basedOn w:val="34"/>
    <w:autoRedefine/>
    <w:qFormat/>
    <w:uiPriority w:val="0"/>
    <w:rPr>
      <w:rFonts w:hint="default" w:ascii="monospace" w:hAnsi="monospace" w:eastAsia="monospace" w:cs="monospace"/>
      <w:sz w:val="20"/>
    </w:rPr>
  </w:style>
  <w:style w:type="character" w:styleId="41">
    <w:name w:val="HTML Acronym"/>
    <w:basedOn w:val="34"/>
    <w:autoRedefine/>
    <w:qFormat/>
    <w:uiPriority w:val="0"/>
  </w:style>
  <w:style w:type="character" w:styleId="42">
    <w:name w:val="HTML Variable"/>
    <w:basedOn w:val="34"/>
    <w:autoRedefine/>
    <w:qFormat/>
    <w:uiPriority w:val="0"/>
  </w:style>
  <w:style w:type="character" w:styleId="43">
    <w:name w:val="Hyperlink"/>
    <w:basedOn w:val="34"/>
    <w:autoRedefine/>
    <w:qFormat/>
    <w:uiPriority w:val="0"/>
    <w:rPr>
      <w:color w:val="333333"/>
      <w:szCs w:val="24"/>
      <w:u w:val="none"/>
    </w:rPr>
  </w:style>
  <w:style w:type="character" w:styleId="44">
    <w:name w:val="HTML Code"/>
    <w:basedOn w:val="34"/>
    <w:autoRedefine/>
    <w:qFormat/>
    <w:uiPriority w:val="0"/>
    <w:rPr>
      <w:rFonts w:ascii="monospace" w:hAnsi="monospace" w:eastAsia="monospace" w:cs="monospace"/>
      <w:sz w:val="20"/>
    </w:rPr>
  </w:style>
  <w:style w:type="character" w:styleId="45">
    <w:name w:val="HTML Cite"/>
    <w:basedOn w:val="34"/>
    <w:autoRedefine/>
    <w:qFormat/>
    <w:uiPriority w:val="0"/>
  </w:style>
  <w:style w:type="character" w:styleId="46">
    <w:name w:val="HTML Keyboard"/>
    <w:basedOn w:val="34"/>
    <w:autoRedefine/>
    <w:qFormat/>
    <w:uiPriority w:val="0"/>
    <w:rPr>
      <w:rFonts w:hint="default" w:ascii="monospace" w:hAnsi="monospace" w:eastAsia="monospace" w:cs="monospace"/>
      <w:sz w:val="20"/>
    </w:rPr>
  </w:style>
  <w:style w:type="character" w:styleId="47">
    <w:name w:val="HTML Sample"/>
    <w:basedOn w:val="34"/>
    <w:autoRedefine/>
    <w:qFormat/>
    <w:uiPriority w:val="0"/>
    <w:rPr>
      <w:rFonts w:hint="default" w:ascii="monospace" w:hAnsi="monospace" w:eastAsia="monospace" w:cs="monospace"/>
    </w:rPr>
  </w:style>
  <w:style w:type="paragraph" w:customStyle="1" w:styleId="48">
    <w:name w:val="目录 51"/>
    <w:next w:val="1"/>
    <w:autoRedefine/>
    <w:qFormat/>
    <w:uiPriority w:val="0"/>
    <w:pPr>
      <w:wordWrap w:val="0"/>
      <w:ind w:left="1700"/>
      <w:jc w:val="both"/>
    </w:pPr>
    <w:rPr>
      <w:rFonts w:ascii="Calibri" w:hAnsi="Calibri" w:eastAsia="Calibri" w:cs="Times New Roman"/>
      <w:sz w:val="21"/>
      <w:lang w:val="en-US" w:eastAsia="zh-CN" w:bidi="ar-SA"/>
    </w:rPr>
  </w:style>
  <w:style w:type="paragraph" w:customStyle="1" w:styleId="49">
    <w:name w:val="样式 正文首行缩进 2 + Arial"/>
    <w:basedOn w:val="1"/>
    <w:next w:val="1"/>
    <w:autoRedefine/>
    <w:qFormat/>
    <w:uiPriority w:val="0"/>
    <w:pPr>
      <w:spacing w:after="120" w:line="320" w:lineRule="atLeast"/>
      <w:ind w:firstLine="200" w:firstLineChars="200"/>
    </w:pPr>
    <w:rPr>
      <w:rFonts w:ascii="Arial" w:hAnsi="Arial"/>
      <w:kern w:val="0"/>
    </w:rPr>
  </w:style>
  <w:style w:type="paragraph" w:customStyle="1" w:styleId="50">
    <w:name w:val="No Spacing1"/>
    <w:basedOn w:val="1"/>
    <w:autoRedefine/>
    <w:qFormat/>
    <w:uiPriority w:val="0"/>
    <w:pPr>
      <w:spacing w:line="400" w:lineRule="exact"/>
    </w:pPr>
    <w:rPr>
      <w:sz w:val="24"/>
    </w:rPr>
  </w:style>
  <w:style w:type="paragraph" w:customStyle="1" w:styleId="51">
    <w:name w:val="大标题"/>
    <w:basedOn w:val="1"/>
    <w:next w:val="31"/>
    <w:autoRedefine/>
    <w:qFormat/>
    <w:uiPriority w:val="0"/>
    <w:pPr>
      <w:jc w:val="center"/>
    </w:pPr>
    <w:rPr>
      <w:rFonts w:ascii="Arial" w:hAnsi="Arial"/>
      <w:b/>
      <w:sz w:val="28"/>
    </w:rPr>
  </w:style>
  <w:style w:type="paragraph" w:customStyle="1" w:styleId="52">
    <w:name w:val="样式 首行缩进:  2 字符"/>
    <w:basedOn w:val="1"/>
    <w:autoRedefine/>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autoRedefine/>
    <w:qFormat/>
    <w:uiPriority w:val="0"/>
  </w:style>
  <w:style w:type="paragraph" w:customStyle="1" w:styleId="54">
    <w:name w:val="正文缩进1"/>
    <w:basedOn w:val="1"/>
    <w:autoRedefine/>
    <w:qFormat/>
    <w:uiPriority w:val="0"/>
    <w:pPr>
      <w:widowControl/>
      <w:ind w:firstLine="420"/>
      <w:jc w:val="left"/>
    </w:pPr>
    <w:rPr>
      <w:kern w:val="0"/>
      <w:szCs w:val="20"/>
    </w:rPr>
  </w:style>
  <w:style w:type="paragraph" w:customStyle="1" w:styleId="55">
    <w:name w:val="列出段落2"/>
    <w:basedOn w:val="1"/>
    <w:autoRedefine/>
    <w:qFormat/>
    <w:uiPriority w:val="34"/>
    <w:pPr>
      <w:ind w:firstLine="420" w:firstLineChars="200"/>
    </w:pPr>
  </w:style>
  <w:style w:type="paragraph" w:customStyle="1" w:styleId="56">
    <w:name w:val="plaintext"/>
    <w:basedOn w:val="1"/>
    <w:autoRedefine/>
    <w:qFormat/>
    <w:uiPriority w:val="0"/>
    <w:pPr>
      <w:widowControl/>
      <w:spacing w:beforeAutospacing="1" w:afterAutospacing="1"/>
      <w:jc w:val="left"/>
    </w:pPr>
    <w:rPr>
      <w:rFonts w:ascii="宋体" w:hAnsi="宋体" w:cs="宋体"/>
      <w:kern w:val="0"/>
      <w:sz w:val="24"/>
    </w:rPr>
  </w:style>
  <w:style w:type="paragraph" w:customStyle="1" w:styleId="57">
    <w:name w:val="1"/>
    <w:basedOn w:val="1"/>
    <w:autoRedefine/>
    <w:qFormat/>
    <w:uiPriority w:val="0"/>
    <w:pPr>
      <w:widowControl/>
      <w:spacing w:beforeAutospacing="1" w:afterAutospacing="1"/>
      <w:jc w:val="left"/>
    </w:pPr>
    <w:rPr>
      <w:rFonts w:ascii="宋体" w:hAnsi="宋体" w:cs="宋体"/>
      <w:kern w:val="0"/>
      <w:sz w:val="24"/>
    </w:rPr>
  </w:style>
  <w:style w:type="paragraph" w:styleId="58">
    <w:name w:val="No Spacing"/>
    <w:autoRedefine/>
    <w:qFormat/>
    <w:uiPriority w:val="1"/>
    <w:rPr>
      <w:rFonts w:ascii="Calibri" w:hAnsi="Calibri" w:eastAsia="宋体" w:cs="Times New Roman"/>
      <w:sz w:val="22"/>
      <w:szCs w:val="22"/>
      <w:lang w:val="en-US" w:eastAsia="zh-CN" w:bidi="ar-SA"/>
    </w:rPr>
  </w:style>
  <w:style w:type="paragraph" w:customStyle="1" w:styleId="59">
    <w:name w:val="_Style 2"/>
    <w:basedOn w:val="1"/>
    <w:autoRedefine/>
    <w:qFormat/>
    <w:uiPriority w:val="34"/>
    <w:pPr>
      <w:ind w:firstLine="420" w:firstLineChars="200"/>
    </w:pPr>
    <w:rPr>
      <w:rFonts w:ascii="Calibri" w:hAnsi="Calibri"/>
    </w:rPr>
  </w:style>
  <w:style w:type="paragraph" w:customStyle="1" w:styleId="60">
    <w:name w:val="paracharcharcharcharcharcharcharcharchar1charcharcharchar"/>
    <w:basedOn w:val="1"/>
    <w:autoRedefine/>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autoRedefine/>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autoRedefine/>
    <w:qFormat/>
    <w:uiPriority w:val="0"/>
  </w:style>
  <w:style w:type="paragraph" w:customStyle="1" w:styleId="63">
    <w:name w:val="p16"/>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autoRedefine/>
    <w:qFormat/>
    <w:uiPriority w:val="1"/>
    <w:pPr>
      <w:jc w:val="left"/>
    </w:pPr>
    <w:rPr>
      <w:rFonts w:ascii="宋体" w:hAnsi="宋体" w:cs="宋体"/>
      <w:kern w:val="0"/>
      <w:sz w:val="22"/>
      <w:szCs w:val="22"/>
      <w:lang w:eastAsia="en-US"/>
    </w:rPr>
  </w:style>
  <w:style w:type="paragraph" w:customStyle="1" w:styleId="65">
    <w:name w:val="无间隔1"/>
    <w:basedOn w:val="1"/>
    <w:autoRedefine/>
    <w:qFormat/>
    <w:uiPriority w:val="1"/>
    <w:pPr>
      <w:spacing w:line="400" w:lineRule="exact"/>
    </w:pPr>
    <w:rPr>
      <w:sz w:val="24"/>
    </w:rPr>
  </w:style>
  <w:style w:type="paragraph" w:customStyle="1" w:styleId="66">
    <w:name w:val="正文格式"/>
    <w:autoRedefine/>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autoRedefine/>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autoRedefine/>
    <w:qFormat/>
    <w:uiPriority w:val="34"/>
    <w:pPr>
      <w:ind w:firstLine="420" w:firstLineChars="200"/>
    </w:pPr>
  </w:style>
  <w:style w:type="paragraph" w:customStyle="1" w:styleId="69">
    <w:name w:val="列出段落111"/>
    <w:autoRedefine/>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autoRedefine/>
    <w:qFormat/>
    <w:uiPriority w:val="0"/>
    <w:pPr>
      <w:widowControl/>
      <w:spacing w:beforeAutospacing="1" w:afterAutospacing="1"/>
      <w:jc w:val="left"/>
    </w:pPr>
    <w:rPr>
      <w:rFonts w:ascii="宋体" w:hAnsi="宋体" w:cs="宋体"/>
      <w:kern w:val="0"/>
      <w:sz w:val="24"/>
    </w:rPr>
  </w:style>
  <w:style w:type="paragraph" w:customStyle="1" w:styleId="71">
    <w:name w:val="default"/>
    <w:basedOn w:val="1"/>
    <w:autoRedefine/>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autoRedefine/>
    <w:qFormat/>
    <w:uiPriority w:val="0"/>
    <w:pPr>
      <w:ind w:firstLine="420" w:firstLineChars="200"/>
    </w:pPr>
    <w:rPr>
      <w:rFonts w:ascii="Calibri" w:hAnsi="Calibri"/>
      <w:szCs w:val="22"/>
    </w:rPr>
  </w:style>
  <w:style w:type="character" w:customStyle="1" w:styleId="73">
    <w:name w:val="正文文本 Char"/>
    <w:basedOn w:val="34"/>
    <w:link w:val="3"/>
    <w:autoRedefine/>
    <w:qFormat/>
    <w:uiPriority w:val="0"/>
  </w:style>
  <w:style w:type="character" w:customStyle="1" w:styleId="74">
    <w:name w:val="apple-converted-space"/>
    <w:basedOn w:val="34"/>
    <w:autoRedefine/>
    <w:qFormat/>
    <w:uiPriority w:val="0"/>
  </w:style>
  <w:style w:type="character" w:customStyle="1" w:styleId="75">
    <w:name w:val="文档结构图 Char"/>
    <w:link w:val="11"/>
    <w:autoRedefine/>
    <w:qFormat/>
    <w:uiPriority w:val="0"/>
    <w:rPr>
      <w:rFonts w:ascii="宋体"/>
      <w:kern w:val="2"/>
      <w:sz w:val="18"/>
      <w:szCs w:val="18"/>
    </w:rPr>
  </w:style>
  <w:style w:type="character" w:customStyle="1" w:styleId="76">
    <w:name w:val="不明显强调1"/>
    <w:autoRedefine/>
    <w:qFormat/>
    <w:uiPriority w:val="19"/>
    <w:rPr>
      <w:i/>
      <w:iCs/>
      <w:color w:val="7F7F7F"/>
      <w:szCs w:val="24"/>
    </w:rPr>
  </w:style>
  <w:style w:type="character" w:customStyle="1" w:styleId="77">
    <w:name w:val="font71"/>
    <w:autoRedefine/>
    <w:qFormat/>
    <w:uiPriority w:val="0"/>
    <w:rPr>
      <w:rFonts w:hint="eastAsia" w:ascii="宋体" w:hAnsi="宋体" w:eastAsia="宋体" w:cs="宋体"/>
      <w:color w:val="000000"/>
      <w:sz w:val="28"/>
      <w:szCs w:val="28"/>
      <w:u w:val="none"/>
    </w:rPr>
  </w:style>
  <w:style w:type="character" w:customStyle="1" w:styleId="78">
    <w:name w:val="font21"/>
    <w:autoRedefine/>
    <w:qFormat/>
    <w:uiPriority w:val="0"/>
    <w:rPr>
      <w:rFonts w:hint="default" w:ascii="Calibri" w:hAnsi="Calibri" w:cs="Calibri"/>
      <w:color w:val="000000"/>
      <w:sz w:val="28"/>
      <w:szCs w:val="28"/>
      <w:u w:val="none"/>
    </w:rPr>
  </w:style>
  <w:style w:type="character" w:customStyle="1" w:styleId="79">
    <w:name w:val="17"/>
    <w:autoRedefine/>
    <w:qFormat/>
    <w:uiPriority w:val="0"/>
    <w:rPr>
      <w:rFonts w:hint="eastAsia" w:ascii="宋体" w:hAnsi="宋体" w:eastAsia="宋体"/>
      <w:color w:val="000000"/>
    </w:rPr>
  </w:style>
  <w:style w:type="character" w:customStyle="1" w:styleId="80">
    <w:name w:val="font91"/>
    <w:autoRedefine/>
    <w:qFormat/>
    <w:uiPriority w:val="0"/>
    <w:rPr>
      <w:rFonts w:hint="eastAsia" w:ascii="宋体" w:hAnsi="宋体" w:eastAsia="宋体" w:cs="宋体"/>
      <w:color w:val="FF0000"/>
      <w:sz w:val="28"/>
      <w:szCs w:val="28"/>
      <w:u w:val="none"/>
    </w:rPr>
  </w:style>
  <w:style w:type="paragraph" w:customStyle="1" w:styleId="81">
    <w:name w:val="p"/>
    <w:basedOn w:val="1"/>
    <w:autoRedefine/>
    <w:qFormat/>
    <w:uiPriority w:val="0"/>
    <w:pPr>
      <w:widowControl/>
      <w:spacing w:line="432" w:lineRule="auto"/>
      <w:jc w:val="left"/>
    </w:pPr>
    <w:rPr>
      <w:rFonts w:ascii="宋体" w:hAnsi="宋体" w:cs="宋体"/>
      <w:kern w:val="0"/>
      <w:sz w:val="24"/>
    </w:rPr>
  </w:style>
  <w:style w:type="paragraph" w:customStyle="1" w:styleId="82">
    <w:name w:val="WPSOffice手动目录 1"/>
    <w:autoRedefine/>
    <w:qFormat/>
    <w:uiPriority w:val="0"/>
    <w:rPr>
      <w:rFonts w:ascii="Times New Roman" w:hAnsi="Times New Roman" w:eastAsia="宋体" w:cs="Times New Roman"/>
      <w:lang w:val="en-US" w:eastAsia="zh-CN" w:bidi="ar-SA"/>
    </w:rPr>
  </w:style>
  <w:style w:type="paragraph" w:customStyle="1" w:styleId="83">
    <w:name w:val="*正文_1"/>
    <w:basedOn w:val="1"/>
    <w:next w:val="1"/>
    <w:autoRedefine/>
    <w:qFormat/>
    <w:uiPriority w:val="0"/>
    <w:pPr>
      <w:widowControl/>
      <w:ind w:firstLine="482"/>
    </w:pPr>
    <w:rPr>
      <w:rFonts w:ascii="微软雅黑" w:hAnsi="微软雅黑" w:eastAsia="微软雅黑"/>
      <w:kern w:val="0"/>
      <w:szCs w:val="20"/>
    </w:rPr>
  </w:style>
  <w:style w:type="paragraph" w:customStyle="1" w:styleId="84">
    <w:name w:val="表格文字"/>
    <w:basedOn w:val="1"/>
    <w:next w:val="3"/>
    <w:autoRedefine/>
    <w:qFormat/>
    <w:uiPriority w:val="0"/>
    <w:pPr>
      <w:adjustRightInd w:val="0"/>
      <w:spacing w:line="420" w:lineRule="atLeast"/>
      <w:jc w:val="left"/>
      <w:textAlignment w:val="baseline"/>
    </w:pPr>
    <w:rPr>
      <w:kern w:val="0"/>
      <w:szCs w:val="20"/>
    </w:rPr>
  </w:style>
  <w:style w:type="character" w:customStyle="1" w:styleId="85">
    <w:name w:val="NormalCharacter"/>
    <w:autoRedefine/>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autoRedefine/>
    <w:qFormat/>
    <w:uiPriority w:val="34"/>
    <w:pPr>
      <w:widowControl/>
      <w:ind w:firstLine="420"/>
      <w:jc w:val="left"/>
    </w:pPr>
    <w:rPr>
      <w:kern w:val="0"/>
    </w:rPr>
  </w:style>
  <w:style w:type="paragraph" w:styleId="87">
    <w:name w:val="List Paragraph"/>
    <w:basedOn w:val="1"/>
    <w:autoRedefine/>
    <w:qFormat/>
    <w:uiPriority w:val="34"/>
    <w:pPr>
      <w:ind w:firstLine="420" w:firstLineChars="200"/>
    </w:pPr>
  </w:style>
  <w:style w:type="character" w:customStyle="1" w:styleId="88">
    <w:name w:val="hover18"/>
    <w:basedOn w:val="34"/>
    <w:autoRedefine/>
    <w:qFormat/>
    <w:uiPriority w:val="0"/>
  </w:style>
  <w:style w:type="table" w:customStyle="1" w:styleId="89">
    <w:name w:val="Table Normal"/>
    <w:autoRedefine/>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33</Pages>
  <Words>2654</Words>
  <Characters>15132</Characters>
  <Lines>126</Lines>
  <Paragraphs>35</Paragraphs>
  <TotalTime>4</TotalTime>
  <ScaleCrop>false</ScaleCrop>
  <LinksUpToDate>false</LinksUpToDate>
  <CharactersWithSpaces>17751</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2024-03-26T08:20:24Z</dcterms:modified>
  <dc:title>驻马店市政府采购货物项目</dc:title>
  <cp:revision>1089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6B4FDCA957CB4E82998C2E32247B97ED_13</vt:lpwstr>
  </property>
</Properties>
</file>